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93" w:rsidRPr="005A0E93" w:rsidRDefault="005A0E93" w:rsidP="005A0E93">
      <w:pPr>
        <w:jc w:val="both"/>
        <w:rPr>
          <w:rFonts w:ascii="Times New Roman" w:hAnsi="Times New Roman" w:cs="Times New Roman"/>
          <w:b/>
          <w:sz w:val="28"/>
          <w:szCs w:val="28"/>
        </w:rPr>
      </w:pPr>
      <w:proofErr w:type="spellStart"/>
      <w:r w:rsidRPr="005A0E93">
        <w:rPr>
          <w:rFonts w:ascii="Times New Roman" w:hAnsi="Times New Roman" w:cs="Times New Roman"/>
          <w:b/>
          <w:sz w:val="28"/>
          <w:szCs w:val="28"/>
        </w:rPr>
        <w:t>Лекція</w:t>
      </w:r>
      <w:proofErr w:type="spellEnd"/>
      <w:r w:rsidRPr="005A0E93">
        <w:rPr>
          <w:rFonts w:ascii="Times New Roman" w:hAnsi="Times New Roman" w:cs="Times New Roman"/>
          <w:b/>
          <w:sz w:val="28"/>
          <w:szCs w:val="28"/>
        </w:rPr>
        <w:t xml:space="preserve"> 4 </w:t>
      </w:r>
      <w:proofErr w:type="spellStart"/>
      <w:r w:rsidRPr="005A0E93">
        <w:rPr>
          <w:rFonts w:ascii="Times New Roman" w:hAnsi="Times New Roman" w:cs="Times New Roman"/>
          <w:b/>
          <w:sz w:val="28"/>
          <w:szCs w:val="28"/>
        </w:rPr>
        <w:t>Особливості</w:t>
      </w:r>
      <w:proofErr w:type="spellEnd"/>
      <w:r w:rsidRPr="005A0E93">
        <w:rPr>
          <w:rFonts w:ascii="Times New Roman" w:hAnsi="Times New Roman" w:cs="Times New Roman"/>
          <w:b/>
          <w:sz w:val="28"/>
          <w:szCs w:val="28"/>
        </w:rPr>
        <w:t xml:space="preserve"> </w:t>
      </w:r>
      <w:proofErr w:type="spellStart"/>
      <w:r w:rsidRPr="005A0E93">
        <w:rPr>
          <w:rFonts w:ascii="Times New Roman" w:hAnsi="Times New Roman" w:cs="Times New Roman"/>
          <w:b/>
          <w:sz w:val="28"/>
          <w:szCs w:val="28"/>
        </w:rPr>
        <w:t>діяльності</w:t>
      </w:r>
      <w:proofErr w:type="spellEnd"/>
      <w:r w:rsidRPr="005A0E93">
        <w:rPr>
          <w:rFonts w:ascii="Times New Roman" w:hAnsi="Times New Roman" w:cs="Times New Roman"/>
          <w:b/>
          <w:sz w:val="28"/>
          <w:szCs w:val="28"/>
        </w:rPr>
        <w:t xml:space="preserve"> </w:t>
      </w:r>
      <w:proofErr w:type="spellStart"/>
      <w:r w:rsidRPr="005A0E93">
        <w:rPr>
          <w:rFonts w:ascii="Times New Roman" w:hAnsi="Times New Roman" w:cs="Times New Roman"/>
          <w:b/>
          <w:sz w:val="28"/>
          <w:szCs w:val="28"/>
        </w:rPr>
        <w:t>індустріальних</w:t>
      </w:r>
      <w:proofErr w:type="spellEnd"/>
      <w:r w:rsidRPr="005A0E93">
        <w:rPr>
          <w:rFonts w:ascii="Times New Roman" w:hAnsi="Times New Roman" w:cs="Times New Roman"/>
          <w:b/>
          <w:sz w:val="28"/>
          <w:szCs w:val="28"/>
        </w:rPr>
        <w:t xml:space="preserve"> </w:t>
      </w:r>
      <w:proofErr w:type="spellStart"/>
      <w:r w:rsidRPr="005A0E93">
        <w:rPr>
          <w:rFonts w:ascii="Times New Roman" w:hAnsi="Times New Roman" w:cs="Times New Roman"/>
          <w:b/>
          <w:sz w:val="28"/>
          <w:szCs w:val="28"/>
        </w:rPr>
        <w:t>парків</w:t>
      </w:r>
      <w:proofErr w:type="spellEnd"/>
      <w:r w:rsidRPr="005A0E93">
        <w:rPr>
          <w:rFonts w:ascii="Times New Roman" w:hAnsi="Times New Roman" w:cs="Times New Roman"/>
          <w:b/>
          <w:sz w:val="28"/>
          <w:szCs w:val="28"/>
        </w:rPr>
        <w:t xml:space="preserve"> </w:t>
      </w:r>
      <w:proofErr w:type="gramStart"/>
      <w:r w:rsidRPr="005A0E93">
        <w:rPr>
          <w:rFonts w:ascii="Times New Roman" w:hAnsi="Times New Roman" w:cs="Times New Roman"/>
          <w:b/>
          <w:sz w:val="28"/>
          <w:szCs w:val="28"/>
        </w:rPr>
        <w:t>в</w:t>
      </w:r>
      <w:proofErr w:type="gramEnd"/>
      <w:r w:rsidRPr="005A0E93">
        <w:rPr>
          <w:rFonts w:ascii="Times New Roman" w:hAnsi="Times New Roman" w:cs="Times New Roman"/>
          <w:b/>
          <w:sz w:val="28"/>
          <w:szCs w:val="28"/>
        </w:rPr>
        <w:t xml:space="preserve"> </w:t>
      </w:r>
      <w:proofErr w:type="spellStart"/>
      <w:r w:rsidRPr="005A0E93">
        <w:rPr>
          <w:rFonts w:ascii="Times New Roman" w:hAnsi="Times New Roman" w:cs="Times New Roman"/>
          <w:b/>
          <w:sz w:val="28"/>
          <w:szCs w:val="28"/>
        </w:rPr>
        <w:t>Україні</w:t>
      </w:r>
      <w:proofErr w:type="spellEnd"/>
      <w:r w:rsidRPr="005A0E93">
        <w:rPr>
          <w:rFonts w:ascii="Times New Roman" w:hAnsi="Times New Roman" w:cs="Times New Roman"/>
          <w:b/>
          <w:sz w:val="28"/>
          <w:szCs w:val="28"/>
        </w:rPr>
        <w:t xml:space="preserve"> </w:t>
      </w:r>
    </w:p>
    <w:p w:rsidR="005A0E93" w:rsidRPr="005A0E93" w:rsidRDefault="005A0E93" w:rsidP="00770F2D">
      <w:pPr>
        <w:jc w:val="both"/>
        <w:rPr>
          <w:rFonts w:ascii="Times New Roman" w:hAnsi="Times New Roman" w:cs="Times New Roman"/>
          <w:sz w:val="28"/>
          <w:szCs w:val="28"/>
        </w:rPr>
      </w:pPr>
      <w:r w:rsidRPr="005A0E93">
        <w:rPr>
          <w:rFonts w:ascii="Times New Roman" w:hAnsi="Times New Roman" w:cs="Times New Roman"/>
          <w:sz w:val="28"/>
          <w:szCs w:val="28"/>
        </w:rPr>
        <w:t xml:space="preserve">1. Мережа </w:t>
      </w:r>
      <w:proofErr w:type="spellStart"/>
      <w:r w:rsidRPr="005A0E93">
        <w:rPr>
          <w:rFonts w:ascii="Times New Roman" w:hAnsi="Times New Roman" w:cs="Times New Roman"/>
          <w:sz w:val="28"/>
          <w:szCs w:val="28"/>
        </w:rPr>
        <w:t>індустріальних</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парків</w:t>
      </w:r>
      <w:proofErr w:type="spellEnd"/>
      <w:r w:rsidRPr="005A0E93">
        <w:rPr>
          <w:rFonts w:ascii="Times New Roman" w:hAnsi="Times New Roman" w:cs="Times New Roman"/>
          <w:sz w:val="28"/>
          <w:szCs w:val="28"/>
        </w:rPr>
        <w:t xml:space="preserve"> </w:t>
      </w:r>
      <w:proofErr w:type="gramStart"/>
      <w:r w:rsidRPr="005A0E93">
        <w:rPr>
          <w:rFonts w:ascii="Times New Roman" w:hAnsi="Times New Roman" w:cs="Times New Roman"/>
          <w:sz w:val="28"/>
          <w:szCs w:val="28"/>
        </w:rPr>
        <w:t>в</w:t>
      </w:r>
      <w:proofErr w:type="gram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Україні</w:t>
      </w:r>
      <w:proofErr w:type="spellEnd"/>
    </w:p>
    <w:p w:rsidR="00770F2D" w:rsidRDefault="005A0E93" w:rsidP="00770F2D">
      <w:pPr>
        <w:jc w:val="both"/>
        <w:rPr>
          <w:rFonts w:ascii="Times New Roman" w:hAnsi="Times New Roman" w:cs="Times New Roman"/>
          <w:sz w:val="28"/>
          <w:szCs w:val="28"/>
          <w:lang w:val="uk-UA"/>
        </w:rPr>
      </w:pPr>
      <w:r w:rsidRPr="005A0E93">
        <w:rPr>
          <w:rFonts w:ascii="Times New Roman" w:hAnsi="Times New Roman" w:cs="Times New Roman"/>
          <w:sz w:val="28"/>
          <w:szCs w:val="28"/>
        </w:rPr>
        <w:t xml:space="preserve">2. </w:t>
      </w:r>
      <w:r w:rsidR="00770F2D">
        <w:rPr>
          <w:rFonts w:ascii="Times New Roman" w:hAnsi="Times New Roman" w:cs="Times New Roman"/>
          <w:sz w:val="28"/>
          <w:szCs w:val="28"/>
          <w:lang w:val="uk-UA"/>
        </w:rPr>
        <w:t xml:space="preserve"> </w:t>
      </w:r>
      <w:r w:rsidR="00770F2D" w:rsidRPr="00B817C9">
        <w:rPr>
          <w:rFonts w:ascii="Times New Roman" w:hAnsi="Times New Roman" w:cs="Times New Roman"/>
          <w:sz w:val="28"/>
          <w:szCs w:val="28"/>
          <w:lang w:val="uk-UA"/>
        </w:rPr>
        <w:t>Законодавче забезпечення діяльності індустріальних парків</w:t>
      </w:r>
      <w:r w:rsidR="00770F2D">
        <w:rPr>
          <w:rFonts w:ascii="Times New Roman" w:hAnsi="Times New Roman" w:cs="Times New Roman"/>
          <w:sz w:val="28"/>
          <w:szCs w:val="28"/>
          <w:lang w:val="uk-UA"/>
        </w:rPr>
        <w:t xml:space="preserve"> в Україні</w:t>
      </w:r>
    </w:p>
    <w:p w:rsidR="00450CD8" w:rsidRDefault="005A0E93" w:rsidP="00770F2D">
      <w:pPr>
        <w:jc w:val="both"/>
        <w:rPr>
          <w:rFonts w:ascii="Times New Roman" w:hAnsi="Times New Roman" w:cs="Times New Roman"/>
          <w:sz w:val="28"/>
          <w:szCs w:val="28"/>
          <w:lang w:val="uk-UA"/>
        </w:rPr>
      </w:pPr>
      <w:r w:rsidRPr="005A0E93">
        <w:rPr>
          <w:rFonts w:ascii="Times New Roman" w:hAnsi="Times New Roman" w:cs="Times New Roman"/>
          <w:sz w:val="28"/>
          <w:szCs w:val="28"/>
        </w:rPr>
        <w:t xml:space="preserve">3. </w:t>
      </w:r>
      <w:proofErr w:type="spellStart"/>
      <w:r w:rsidRPr="005A0E93">
        <w:rPr>
          <w:rFonts w:ascii="Times New Roman" w:hAnsi="Times New Roman" w:cs="Times New Roman"/>
          <w:sz w:val="28"/>
          <w:szCs w:val="28"/>
        </w:rPr>
        <w:t>Проблеми</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функціонування</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індустріальних</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парків</w:t>
      </w:r>
      <w:proofErr w:type="spellEnd"/>
      <w:r w:rsidRPr="005A0E93">
        <w:rPr>
          <w:rFonts w:ascii="Times New Roman" w:hAnsi="Times New Roman" w:cs="Times New Roman"/>
          <w:sz w:val="28"/>
          <w:szCs w:val="28"/>
        </w:rPr>
        <w:t xml:space="preserve"> </w:t>
      </w:r>
      <w:proofErr w:type="gramStart"/>
      <w:r w:rsidRPr="005A0E93">
        <w:rPr>
          <w:rFonts w:ascii="Times New Roman" w:hAnsi="Times New Roman" w:cs="Times New Roman"/>
          <w:sz w:val="28"/>
          <w:szCs w:val="28"/>
        </w:rPr>
        <w:t>в</w:t>
      </w:r>
      <w:proofErr w:type="gram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Україні</w:t>
      </w:r>
      <w:proofErr w:type="spellEnd"/>
    </w:p>
    <w:p w:rsidR="005A0E93" w:rsidRDefault="005A0E93" w:rsidP="005A0E93">
      <w:pPr>
        <w:jc w:val="both"/>
        <w:rPr>
          <w:rFonts w:ascii="Times New Roman" w:hAnsi="Times New Roman" w:cs="Times New Roman"/>
          <w:sz w:val="28"/>
          <w:szCs w:val="28"/>
          <w:lang w:val="uk-UA"/>
        </w:rPr>
      </w:pPr>
    </w:p>
    <w:p w:rsidR="005A0E93" w:rsidRPr="005A0E93" w:rsidRDefault="005A0E93" w:rsidP="008839E3">
      <w:pPr>
        <w:ind w:firstLine="567"/>
        <w:jc w:val="both"/>
        <w:rPr>
          <w:rFonts w:ascii="Times New Roman" w:hAnsi="Times New Roman" w:cs="Times New Roman"/>
          <w:sz w:val="28"/>
          <w:szCs w:val="28"/>
        </w:rPr>
      </w:pPr>
      <w:r w:rsidRPr="005A0E93">
        <w:rPr>
          <w:rFonts w:ascii="Times New Roman" w:hAnsi="Times New Roman" w:cs="Times New Roman"/>
          <w:sz w:val="28"/>
          <w:szCs w:val="28"/>
        </w:rPr>
        <w:t xml:space="preserve">1. Мережа </w:t>
      </w:r>
      <w:proofErr w:type="spellStart"/>
      <w:r w:rsidRPr="005A0E93">
        <w:rPr>
          <w:rFonts w:ascii="Times New Roman" w:hAnsi="Times New Roman" w:cs="Times New Roman"/>
          <w:sz w:val="28"/>
          <w:szCs w:val="28"/>
        </w:rPr>
        <w:t>індустріальних</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парків</w:t>
      </w:r>
      <w:proofErr w:type="spellEnd"/>
      <w:r w:rsidRPr="005A0E93">
        <w:rPr>
          <w:rFonts w:ascii="Times New Roman" w:hAnsi="Times New Roman" w:cs="Times New Roman"/>
          <w:sz w:val="28"/>
          <w:szCs w:val="28"/>
        </w:rPr>
        <w:t xml:space="preserve"> </w:t>
      </w:r>
      <w:proofErr w:type="gramStart"/>
      <w:r w:rsidRPr="005A0E93">
        <w:rPr>
          <w:rFonts w:ascii="Times New Roman" w:hAnsi="Times New Roman" w:cs="Times New Roman"/>
          <w:sz w:val="28"/>
          <w:szCs w:val="28"/>
        </w:rPr>
        <w:t>в</w:t>
      </w:r>
      <w:proofErr w:type="gram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Україні</w:t>
      </w:r>
      <w:proofErr w:type="spellEnd"/>
    </w:p>
    <w:p w:rsidR="00D53933" w:rsidRDefault="00D53933" w:rsidP="008839E3">
      <w:pPr>
        <w:ind w:firstLine="567"/>
        <w:jc w:val="both"/>
        <w:rPr>
          <w:rFonts w:ascii="Times New Roman" w:hAnsi="Times New Roman" w:cs="Times New Roman"/>
          <w:sz w:val="28"/>
          <w:szCs w:val="28"/>
          <w:lang w:val="uk-UA"/>
        </w:rPr>
      </w:pPr>
    </w:p>
    <w:p w:rsidR="005A0E93" w:rsidRDefault="00D53933" w:rsidP="008839E3">
      <w:pPr>
        <w:ind w:firstLine="567"/>
        <w:jc w:val="both"/>
        <w:rPr>
          <w:rFonts w:ascii="Times New Roman" w:hAnsi="Times New Roman" w:cs="Times New Roman"/>
          <w:sz w:val="28"/>
          <w:szCs w:val="28"/>
          <w:lang w:val="uk-UA"/>
        </w:rPr>
      </w:pPr>
      <w:r w:rsidRPr="00D53933">
        <w:rPr>
          <w:rFonts w:ascii="Times New Roman" w:hAnsi="Times New Roman" w:cs="Times New Roman"/>
          <w:sz w:val="28"/>
          <w:szCs w:val="28"/>
          <w:lang w:val="uk-UA"/>
        </w:rPr>
        <w:t>З часу прийняття Закону України "Про індустріальні парки" (далі – Закон) розвиток індустріальних парків не характеризувався динамічністю, адже економічна активність індустріальних парків залишається повільною: на початок 2022 року з 52 індустріальних парків, включених до Реєстру індустріальних (промислових) парків (далі – Реєстр), у 32 індустріальних парках обрано керуючі компанії, а у 8 індустріальних парках є резиденти та інші суб'єкти індустріальних парків.</w:t>
      </w:r>
    </w:p>
    <w:p w:rsidR="008839E3" w:rsidRDefault="008839E3" w:rsidP="008839E3">
      <w:pPr>
        <w:ind w:firstLine="567"/>
        <w:jc w:val="both"/>
        <w:rPr>
          <w:rFonts w:ascii="Times New Roman" w:hAnsi="Times New Roman" w:cs="Times New Roman"/>
          <w:sz w:val="28"/>
          <w:szCs w:val="28"/>
          <w:lang w:val="uk-UA"/>
        </w:rPr>
      </w:pPr>
      <w:r w:rsidRPr="008839E3">
        <w:rPr>
          <w:rFonts w:ascii="Times New Roman" w:hAnsi="Times New Roman" w:cs="Times New Roman"/>
          <w:sz w:val="28"/>
          <w:szCs w:val="28"/>
        </w:rPr>
        <w:drawing>
          <wp:inline distT="0" distB="0" distL="0" distR="0" wp14:anchorId="33497F41" wp14:editId="25A3A121">
            <wp:extent cx="5943600" cy="15906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839E3" w:rsidRDefault="008839E3" w:rsidP="008839E3">
      <w:pPr>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Динаміка створення ІП в Україні</w:t>
      </w:r>
    </w:p>
    <w:p w:rsidR="008839E3" w:rsidRDefault="008839E3" w:rsidP="008839E3">
      <w:pPr>
        <w:ind w:firstLine="567"/>
        <w:jc w:val="both"/>
        <w:rPr>
          <w:rFonts w:ascii="Times New Roman" w:hAnsi="Times New Roman" w:cs="Times New Roman"/>
          <w:sz w:val="28"/>
          <w:szCs w:val="28"/>
          <w:lang w:val="uk-UA"/>
        </w:rPr>
      </w:pPr>
    </w:p>
    <w:p w:rsidR="008839E3" w:rsidRDefault="008839E3" w:rsidP="008839E3">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цей період </w:t>
      </w:r>
      <w:r w:rsidR="006C4E5C">
        <w:rPr>
          <w:rFonts w:ascii="Times New Roman" w:hAnsi="Times New Roman" w:cs="Times New Roman"/>
          <w:sz w:val="28"/>
          <w:szCs w:val="28"/>
          <w:lang w:val="uk-UA"/>
        </w:rPr>
        <w:t xml:space="preserve">відповідно до </w:t>
      </w:r>
      <w:r w:rsidR="006C4E5C" w:rsidRPr="006C4E5C">
        <w:rPr>
          <w:rFonts w:ascii="Times New Roman" w:hAnsi="Times New Roman" w:cs="Times New Roman"/>
          <w:b/>
          <w:bCs/>
          <w:sz w:val="28"/>
          <w:szCs w:val="28"/>
          <w:lang w:val="uk-UA"/>
        </w:rPr>
        <w:t xml:space="preserve">Реєстру індустріальних парків </w:t>
      </w:r>
      <w:r>
        <w:rPr>
          <w:rFonts w:ascii="Times New Roman" w:hAnsi="Times New Roman" w:cs="Times New Roman"/>
          <w:sz w:val="28"/>
          <w:szCs w:val="28"/>
          <w:lang w:val="uk-UA"/>
        </w:rPr>
        <w:t>найбільшу кількість індустріальних парків було створено у Київській та Львівській областях</w:t>
      </w:r>
      <w:r w:rsidR="006C4E5C">
        <w:rPr>
          <w:rFonts w:ascii="Times New Roman" w:hAnsi="Times New Roman" w:cs="Times New Roman"/>
          <w:sz w:val="28"/>
          <w:szCs w:val="28"/>
          <w:lang w:val="uk-UA"/>
        </w:rPr>
        <w:t xml:space="preserve">. </w:t>
      </w:r>
    </w:p>
    <w:p w:rsidR="008839E3" w:rsidRDefault="008839E3" w:rsidP="008839E3">
      <w:pPr>
        <w:ind w:firstLine="567"/>
        <w:jc w:val="both"/>
        <w:rPr>
          <w:rFonts w:ascii="Times New Roman" w:hAnsi="Times New Roman" w:cs="Times New Roman"/>
          <w:sz w:val="28"/>
          <w:szCs w:val="28"/>
          <w:lang w:val="uk-UA"/>
        </w:rPr>
      </w:pPr>
      <w:r>
        <w:rPr>
          <w:noProof/>
          <w:lang w:eastAsia="ru-RU"/>
        </w:rPr>
        <w:lastRenderedPageBreak/>
        <w:drawing>
          <wp:inline distT="0" distB="0" distL="0" distR="0" wp14:anchorId="1571304F" wp14:editId="51299B17">
            <wp:extent cx="5981700" cy="18669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C4E5C" w:rsidRDefault="006C4E5C" w:rsidP="008839E3">
      <w:pPr>
        <w:ind w:firstLine="567"/>
        <w:jc w:val="both"/>
        <w:rPr>
          <w:rFonts w:ascii="Times New Roman" w:hAnsi="Times New Roman" w:cs="Times New Roman"/>
          <w:sz w:val="28"/>
          <w:szCs w:val="28"/>
          <w:lang w:val="uk-UA"/>
        </w:rPr>
      </w:pPr>
      <w:r w:rsidRPr="006C4E5C">
        <w:rPr>
          <w:rFonts w:ascii="Times New Roman" w:hAnsi="Times New Roman" w:cs="Times New Roman"/>
          <w:sz w:val="28"/>
          <w:szCs w:val="28"/>
          <w:lang w:val="uk-UA"/>
        </w:rPr>
        <w:t>Кількість індустріальних парків, включених до Реєстру, у розрізі регіонів</w:t>
      </w:r>
    </w:p>
    <w:p w:rsidR="006C4E5C" w:rsidRDefault="006C4E5C" w:rsidP="008839E3">
      <w:pPr>
        <w:ind w:firstLine="567"/>
        <w:jc w:val="both"/>
        <w:rPr>
          <w:rFonts w:ascii="Times New Roman" w:hAnsi="Times New Roman" w:cs="Times New Roman"/>
          <w:sz w:val="28"/>
          <w:szCs w:val="28"/>
          <w:lang w:val="uk-UA"/>
        </w:rPr>
      </w:pPr>
    </w:p>
    <w:p w:rsidR="007A615E" w:rsidRDefault="007A615E" w:rsidP="007A615E">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Міністерство економіки України дає розгорнуту інформації щодо </w:t>
      </w:r>
      <w:r w:rsidRPr="007A615E">
        <w:rPr>
          <w:rFonts w:ascii="Times New Roman" w:hAnsi="Times New Roman" w:cs="Times New Roman"/>
          <w:sz w:val="28"/>
          <w:szCs w:val="28"/>
          <w:lang w:val="uk-UA"/>
        </w:rPr>
        <w:t>розбудови мережі індустріальних парків в розрізі регіонів Україн</w:t>
      </w:r>
      <w:r>
        <w:rPr>
          <w:rFonts w:ascii="Times New Roman" w:hAnsi="Times New Roman" w:cs="Times New Roman"/>
          <w:sz w:val="28"/>
          <w:szCs w:val="28"/>
          <w:lang w:val="uk-UA"/>
        </w:rPr>
        <w:t xml:space="preserve">и. </w:t>
      </w:r>
    </w:p>
    <w:p w:rsidR="007A615E" w:rsidRPr="007A615E" w:rsidRDefault="007A615E" w:rsidP="007A615E">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Пропоную детальніше зупинитися на розгляді Запорізької області.</w:t>
      </w:r>
    </w:p>
    <w:p w:rsidR="007A615E" w:rsidRPr="007A615E" w:rsidRDefault="007A615E" w:rsidP="007A615E">
      <w:pPr>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Стратегією регіонального розвитку Запорізької області на період до 2027 року зазначається, що до чинників подальшого розвитку бізнесу в регіоні належить ефективне функціонування інфраструктури підтримки підприємництва, а також мережі кластерів та індустріальних парків.</w:t>
      </w:r>
    </w:p>
    <w:p w:rsidR="007A615E" w:rsidRPr="007A615E" w:rsidRDefault="007A615E" w:rsidP="007A615E">
      <w:pPr>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Відповідно до Плану заходів на 2021 – 2023 роки з реалізації стратегії передбачено створення індустріальних парків (зокрема, індустріального парку "Мелітополь").</w:t>
      </w:r>
    </w:p>
    <w:p w:rsidR="007A615E" w:rsidRPr="007A615E" w:rsidRDefault="0036643D" w:rsidP="007A615E">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запорізької області діють незареєстровані в Реєстрі ІП </w:t>
      </w:r>
      <w:r w:rsidR="007A615E" w:rsidRPr="007A615E">
        <w:rPr>
          <w:rFonts w:ascii="Times New Roman" w:hAnsi="Times New Roman" w:cs="Times New Roman"/>
          <w:sz w:val="28"/>
          <w:szCs w:val="28"/>
          <w:lang w:val="uk-UA"/>
        </w:rPr>
        <w:t>індустріальні парки</w:t>
      </w:r>
      <w:r>
        <w:rPr>
          <w:rFonts w:ascii="Times New Roman" w:hAnsi="Times New Roman" w:cs="Times New Roman"/>
          <w:sz w:val="28"/>
          <w:szCs w:val="28"/>
          <w:lang w:val="uk-UA"/>
        </w:rPr>
        <w:t xml:space="preserve">. </w:t>
      </w:r>
    </w:p>
    <w:p w:rsidR="007A615E" w:rsidRPr="007A615E" w:rsidRDefault="007A615E" w:rsidP="007A615E">
      <w:pPr>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У місті Запоріжжя з 2011 року функціонує індустріальний парк "</w:t>
      </w:r>
      <w:proofErr w:type="spellStart"/>
      <w:r w:rsidRPr="007A615E">
        <w:rPr>
          <w:rFonts w:ascii="Times New Roman" w:hAnsi="Times New Roman" w:cs="Times New Roman"/>
          <w:sz w:val="28"/>
          <w:szCs w:val="28"/>
          <w:lang w:val="uk-UA"/>
        </w:rPr>
        <w:t>Konecranes</w:t>
      </w:r>
      <w:proofErr w:type="spellEnd"/>
      <w:r w:rsidRPr="007A615E">
        <w:rPr>
          <w:rFonts w:ascii="Times New Roman" w:hAnsi="Times New Roman" w:cs="Times New Roman"/>
          <w:sz w:val="28"/>
          <w:szCs w:val="28"/>
          <w:lang w:val="uk-UA"/>
        </w:rPr>
        <w:t>" площею 50 га на базі підприємства ПРАТ "</w:t>
      </w:r>
      <w:proofErr w:type="spellStart"/>
      <w:r w:rsidRPr="007A615E">
        <w:rPr>
          <w:rFonts w:ascii="Times New Roman" w:hAnsi="Times New Roman" w:cs="Times New Roman"/>
          <w:sz w:val="28"/>
          <w:szCs w:val="28"/>
          <w:lang w:val="uk-UA"/>
        </w:rPr>
        <w:t>Запоріжкран</w:t>
      </w:r>
      <w:proofErr w:type="spellEnd"/>
      <w:r w:rsidRPr="007A615E">
        <w:rPr>
          <w:rFonts w:ascii="Times New Roman" w:hAnsi="Times New Roman" w:cs="Times New Roman"/>
          <w:sz w:val="28"/>
          <w:szCs w:val="28"/>
          <w:lang w:val="uk-UA"/>
        </w:rPr>
        <w:t xml:space="preserve">" за підтримки фінської компанії </w:t>
      </w:r>
      <w:proofErr w:type="spellStart"/>
      <w:r w:rsidRPr="007A615E">
        <w:rPr>
          <w:rFonts w:ascii="Times New Roman" w:hAnsi="Times New Roman" w:cs="Times New Roman"/>
          <w:sz w:val="28"/>
          <w:szCs w:val="28"/>
          <w:lang w:val="uk-UA"/>
        </w:rPr>
        <w:t>Konecranes</w:t>
      </w:r>
      <w:proofErr w:type="spellEnd"/>
      <w:r w:rsidRPr="007A615E">
        <w:rPr>
          <w:rFonts w:ascii="Times New Roman" w:hAnsi="Times New Roman" w:cs="Times New Roman"/>
          <w:sz w:val="28"/>
          <w:szCs w:val="28"/>
          <w:lang w:val="uk-UA"/>
        </w:rPr>
        <w:t>, де успішно працюють 14 промислових підприємств малого бізнесу, з яких 10 – українські компанії. На експорт йде 98% продукції.</w:t>
      </w:r>
    </w:p>
    <w:p w:rsidR="007A615E" w:rsidRPr="007A615E" w:rsidRDefault="007A615E" w:rsidP="007A615E">
      <w:pPr>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ТОВ "</w:t>
      </w:r>
      <w:proofErr w:type="spellStart"/>
      <w:r w:rsidRPr="007A615E">
        <w:rPr>
          <w:rFonts w:ascii="Times New Roman" w:hAnsi="Times New Roman" w:cs="Times New Roman"/>
          <w:sz w:val="28"/>
          <w:szCs w:val="28"/>
          <w:lang w:val="uk-UA"/>
        </w:rPr>
        <w:t>Ізатекс-Індастрі</w:t>
      </w:r>
      <w:proofErr w:type="spellEnd"/>
      <w:r w:rsidRPr="007A615E">
        <w:rPr>
          <w:rFonts w:ascii="Times New Roman" w:hAnsi="Times New Roman" w:cs="Times New Roman"/>
          <w:sz w:val="28"/>
          <w:szCs w:val="28"/>
          <w:lang w:val="uk-UA"/>
        </w:rPr>
        <w:t xml:space="preserve">" створено індустріальний парк "Мелітополь" на місці колишнього ПАТ "Мелітопольський завод холодильного машинобудування "РЕФМА" (загальна площа земельної ділянки – 16,3 га, площа приміщень – 84 тис. м2). На будівництво та створення парку згідно з концепцією передбачається залучити понад 50 млн. грн. (кошти учасників та керуючої компанії). Прогнозна кількість нових робочих місць – 2260. </w:t>
      </w:r>
      <w:r w:rsidRPr="007A615E">
        <w:rPr>
          <w:rFonts w:ascii="Times New Roman" w:hAnsi="Times New Roman" w:cs="Times New Roman"/>
          <w:sz w:val="28"/>
          <w:szCs w:val="28"/>
          <w:lang w:val="uk-UA"/>
        </w:rPr>
        <w:lastRenderedPageBreak/>
        <w:t>Функціональне призначення парку: виробництво запчастин та комплектуючих для с/г техніки та автомобілів, глибока переробка та зберігання с/г продукції, логістика, ІТ-технології.</w:t>
      </w:r>
    </w:p>
    <w:p w:rsidR="007A615E" w:rsidRPr="007A615E" w:rsidRDefault="007A615E" w:rsidP="007A615E">
      <w:pPr>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 xml:space="preserve">На території парку розміщено 5 зон за різними видами діяльності: аграрний кластер, логістичний центр Нової пошти, металообробні підприємства, переробка зерна, виробництво агротехніки, лінія розливу соняшникової олії, складські приміщення, бізнес центр. У перспективі розвитку ІТ центр, виставковий центр "Мелітополь Експо", бюро сертифікації аграрної продукції, роздрібна мережа, центр підтримки місцевих МСБ, зони відпочинку, харчування, паркування, </w:t>
      </w:r>
      <w:proofErr w:type="spellStart"/>
      <w:r w:rsidRPr="007A615E">
        <w:rPr>
          <w:rFonts w:ascii="Times New Roman" w:hAnsi="Times New Roman" w:cs="Times New Roman"/>
          <w:sz w:val="28"/>
          <w:szCs w:val="28"/>
          <w:lang w:val="uk-UA"/>
        </w:rPr>
        <w:t>біо</w:t>
      </w:r>
      <w:proofErr w:type="spellEnd"/>
      <w:r w:rsidRPr="007A615E">
        <w:rPr>
          <w:rFonts w:ascii="Times New Roman" w:hAnsi="Times New Roman" w:cs="Times New Roman"/>
          <w:sz w:val="28"/>
          <w:szCs w:val="28"/>
          <w:lang w:val="uk-UA"/>
        </w:rPr>
        <w:t xml:space="preserve"> ТЕС.</w:t>
      </w:r>
    </w:p>
    <w:p w:rsidR="007A615E" w:rsidRPr="007A615E" w:rsidRDefault="007A615E" w:rsidP="007A615E">
      <w:pPr>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 xml:space="preserve">Функціонує індустріальний парк "Запоріжжя-2" (тип </w:t>
      </w:r>
      <w:proofErr w:type="spellStart"/>
      <w:r w:rsidRPr="007A615E">
        <w:rPr>
          <w:rFonts w:ascii="Times New Roman" w:hAnsi="Times New Roman" w:cs="Times New Roman"/>
          <w:sz w:val="28"/>
          <w:szCs w:val="28"/>
          <w:lang w:val="uk-UA"/>
        </w:rPr>
        <w:t>brownfield</w:t>
      </w:r>
      <w:proofErr w:type="spellEnd"/>
      <w:r w:rsidRPr="007A615E">
        <w:rPr>
          <w:rFonts w:ascii="Times New Roman" w:hAnsi="Times New Roman" w:cs="Times New Roman"/>
          <w:sz w:val="28"/>
          <w:szCs w:val="28"/>
          <w:lang w:val="uk-UA"/>
        </w:rPr>
        <w:t>, площа 17,4 га, приватний) з наявною інженерно-транспортною комунікацією, що дозволяє розмістити тут різні види виробництва (наприклад, метало- та деревообробку, виробництво запчастин і комплектуючих для автотранспорту, підприємства з переробки с/г продукції тощо). Перспективи розвитку: переробка харчової продукції, техніка та металообробка, оптова торгівля, ІТ індустрія, логістика.</w:t>
      </w:r>
    </w:p>
    <w:p w:rsidR="007A615E" w:rsidRPr="007A615E" w:rsidRDefault="007A615E" w:rsidP="007A615E">
      <w:pPr>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Рішенням Бердянської міської ради від 30.09.2021 № 46 створено індустріальний парк "Бердянськ" та затверджено його концепцію. Індустріальний парк створено на 30 років, його площа 21,9776 га (</w:t>
      </w:r>
      <w:proofErr w:type="spellStart"/>
      <w:r w:rsidRPr="007A615E">
        <w:rPr>
          <w:rFonts w:ascii="Times New Roman" w:hAnsi="Times New Roman" w:cs="Times New Roman"/>
          <w:sz w:val="28"/>
          <w:szCs w:val="28"/>
          <w:lang w:val="uk-UA"/>
        </w:rPr>
        <w:t>greenfield</w:t>
      </w:r>
      <w:proofErr w:type="spellEnd"/>
      <w:r w:rsidRPr="007A615E">
        <w:rPr>
          <w:rFonts w:ascii="Times New Roman" w:hAnsi="Times New Roman" w:cs="Times New Roman"/>
          <w:sz w:val="28"/>
          <w:szCs w:val="28"/>
          <w:lang w:val="uk-UA"/>
        </w:rPr>
        <w:t>). На території парку передбачається створення промислових майданчиків, на яких буде розміщено основні виробництва: підприємства харчової промисловості, легкої промисловості, машинобудування, переробки та зберігання продукції сільського господарства. Супутніми видами діяльності можуть бути логістичні послуги, а також розробка та впровадження інноваційних технологій у галузі сільського господарства, машинобудування, харчової та легкої промисловості. Очікується створити 550 робочих місць та залучити 925 млн грн прямих інвестицій. На облаштування об’єктів інженерно-транспортної інфраструктури до меж індустріального парку необхідно залучити 63,64 млн грн.</w:t>
      </w:r>
    </w:p>
    <w:p w:rsidR="007A615E" w:rsidRPr="00256CE1" w:rsidRDefault="007A615E" w:rsidP="007A615E">
      <w:pPr>
        <w:ind w:firstLine="567"/>
        <w:jc w:val="both"/>
        <w:rPr>
          <w:rFonts w:ascii="Times New Roman" w:hAnsi="Times New Roman" w:cs="Times New Roman"/>
          <w:i/>
          <w:sz w:val="28"/>
          <w:szCs w:val="28"/>
          <w:lang w:val="uk-UA"/>
        </w:rPr>
      </w:pPr>
      <w:r w:rsidRPr="00256CE1">
        <w:rPr>
          <w:rFonts w:ascii="Times New Roman" w:hAnsi="Times New Roman" w:cs="Times New Roman"/>
          <w:i/>
          <w:sz w:val="28"/>
          <w:szCs w:val="28"/>
          <w:lang w:val="uk-UA"/>
        </w:rPr>
        <w:t>Ініціювання нових індустріальних парків</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 xml:space="preserve">Існують наміри щодо створення індустріального парку на території </w:t>
      </w:r>
      <w:proofErr w:type="spellStart"/>
      <w:r w:rsidRPr="007A615E">
        <w:rPr>
          <w:rFonts w:ascii="Times New Roman" w:hAnsi="Times New Roman" w:cs="Times New Roman"/>
          <w:sz w:val="28"/>
          <w:szCs w:val="28"/>
          <w:lang w:val="uk-UA"/>
        </w:rPr>
        <w:t>Семенівської</w:t>
      </w:r>
      <w:proofErr w:type="spellEnd"/>
      <w:r w:rsidRPr="007A615E">
        <w:rPr>
          <w:rFonts w:ascii="Times New Roman" w:hAnsi="Times New Roman" w:cs="Times New Roman"/>
          <w:sz w:val="28"/>
          <w:szCs w:val="28"/>
          <w:lang w:val="uk-UA"/>
        </w:rPr>
        <w:t xml:space="preserve"> сільської ради. </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 xml:space="preserve">Меморандум щодо створення індустріального парку "Широке" 13.09.2019 підписано між </w:t>
      </w:r>
      <w:proofErr w:type="spellStart"/>
      <w:r w:rsidRPr="007A615E">
        <w:rPr>
          <w:rFonts w:ascii="Times New Roman" w:hAnsi="Times New Roman" w:cs="Times New Roman"/>
          <w:sz w:val="28"/>
          <w:szCs w:val="28"/>
          <w:lang w:val="uk-UA"/>
        </w:rPr>
        <w:t>Широківською</w:t>
      </w:r>
      <w:proofErr w:type="spellEnd"/>
      <w:r w:rsidRPr="007A615E">
        <w:rPr>
          <w:rFonts w:ascii="Times New Roman" w:hAnsi="Times New Roman" w:cs="Times New Roman"/>
          <w:sz w:val="28"/>
          <w:szCs w:val="28"/>
          <w:lang w:val="uk-UA"/>
        </w:rPr>
        <w:t xml:space="preserve"> сільською радою Запорізького </w:t>
      </w:r>
      <w:r w:rsidRPr="007A615E">
        <w:rPr>
          <w:rFonts w:ascii="Times New Roman" w:hAnsi="Times New Roman" w:cs="Times New Roman"/>
          <w:sz w:val="28"/>
          <w:szCs w:val="28"/>
          <w:lang w:val="uk-UA"/>
        </w:rPr>
        <w:lastRenderedPageBreak/>
        <w:t>району, корпорацією "</w:t>
      </w:r>
      <w:proofErr w:type="spellStart"/>
      <w:r w:rsidRPr="007A615E">
        <w:rPr>
          <w:rFonts w:ascii="Times New Roman" w:hAnsi="Times New Roman" w:cs="Times New Roman"/>
          <w:sz w:val="28"/>
          <w:szCs w:val="28"/>
          <w:lang w:val="uk-UA"/>
        </w:rPr>
        <w:t>Рассвет</w:t>
      </w:r>
      <w:proofErr w:type="spellEnd"/>
      <w:r w:rsidRPr="007A615E">
        <w:rPr>
          <w:rFonts w:ascii="Times New Roman" w:hAnsi="Times New Roman" w:cs="Times New Roman"/>
          <w:sz w:val="28"/>
          <w:szCs w:val="28"/>
          <w:lang w:val="uk-UA"/>
        </w:rPr>
        <w:t>" та ДНВЗ авіаційного профілю "Запорізький центр льотної підготовки ім. Маршала авіації О.І. Покришкіна".</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 xml:space="preserve">В області нараховується 216 вільних земельних ділянок типу </w:t>
      </w:r>
      <w:proofErr w:type="spellStart"/>
      <w:r w:rsidRPr="007A615E">
        <w:rPr>
          <w:rFonts w:ascii="Times New Roman" w:hAnsi="Times New Roman" w:cs="Times New Roman"/>
          <w:sz w:val="28"/>
          <w:szCs w:val="28"/>
          <w:lang w:val="uk-UA"/>
        </w:rPr>
        <w:t>Greenfield</w:t>
      </w:r>
      <w:proofErr w:type="spellEnd"/>
      <w:r w:rsidRPr="007A615E">
        <w:rPr>
          <w:rFonts w:ascii="Times New Roman" w:hAnsi="Times New Roman" w:cs="Times New Roman"/>
          <w:sz w:val="28"/>
          <w:szCs w:val="28"/>
          <w:lang w:val="uk-UA"/>
        </w:rPr>
        <w:t xml:space="preserve"> та </w:t>
      </w:r>
      <w:proofErr w:type="spellStart"/>
      <w:r w:rsidRPr="007A615E">
        <w:rPr>
          <w:rFonts w:ascii="Times New Roman" w:hAnsi="Times New Roman" w:cs="Times New Roman"/>
          <w:sz w:val="28"/>
          <w:szCs w:val="28"/>
          <w:lang w:val="uk-UA"/>
        </w:rPr>
        <w:t>Brownfield</w:t>
      </w:r>
      <w:proofErr w:type="spellEnd"/>
      <w:r w:rsidRPr="007A615E">
        <w:rPr>
          <w:rFonts w:ascii="Times New Roman" w:hAnsi="Times New Roman" w:cs="Times New Roman"/>
          <w:sz w:val="28"/>
          <w:szCs w:val="28"/>
          <w:lang w:val="uk-UA"/>
        </w:rPr>
        <w:t xml:space="preserve"> загальною площею близько 3369,5 га, з яких 67 ділянок (площею від 15 га) можливі під створення індустріальних парків. Найбільш придатні земельні ділянки знаходяться у м. Бердянськ, Мелітопольському, Бердянському, </w:t>
      </w:r>
      <w:proofErr w:type="spellStart"/>
      <w:r w:rsidRPr="007A615E">
        <w:rPr>
          <w:rFonts w:ascii="Times New Roman" w:hAnsi="Times New Roman" w:cs="Times New Roman"/>
          <w:sz w:val="28"/>
          <w:szCs w:val="28"/>
          <w:lang w:val="uk-UA"/>
        </w:rPr>
        <w:t>Василівському</w:t>
      </w:r>
      <w:proofErr w:type="spellEnd"/>
      <w:r w:rsidRPr="007A615E">
        <w:rPr>
          <w:rFonts w:ascii="Times New Roman" w:hAnsi="Times New Roman" w:cs="Times New Roman"/>
          <w:sz w:val="28"/>
          <w:szCs w:val="28"/>
          <w:lang w:val="uk-UA"/>
        </w:rPr>
        <w:t xml:space="preserve">, </w:t>
      </w:r>
      <w:proofErr w:type="spellStart"/>
      <w:r w:rsidRPr="007A615E">
        <w:rPr>
          <w:rFonts w:ascii="Times New Roman" w:hAnsi="Times New Roman" w:cs="Times New Roman"/>
          <w:sz w:val="28"/>
          <w:szCs w:val="28"/>
          <w:lang w:val="uk-UA"/>
        </w:rPr>
        <w:t>Вільнянському</w:t>
      </w:r>
      <w:proofErr w:type="spellEnd"/>
      <w:r w:rsidRPr="007A615E">
        <w:rPr>
          <w:rFonts w:ascii="Times New Roman" w:hAnsi="Times New Roman" w:cs="Times New Roman"/>
          <w:sz w:val="28"/>
          <w:szCs w:val="28"/>
          <w:lang w:val="uk-UA"/>
        </w:rPr>
        <w:t xml:space="preserve">, </w:t>
      </w:r>
      <w:proofErr w:type="spellStart"/>
      <w:r w:rsidRPr="007A615E">
        <w:rPr>
          <w:rFonts w:ascii="Times New Roman" w:hAnsi="Times New Roman" w:cs="Times New Roman"/>
          <w:sz w:val="28"/>
          <w:szCs w:val="28"/>
          <w:lang w:val="uk-UA"/>
        </w:rPr>
        <w:t>Більмацькому</w:t>
      </w:r>
      <w:proofErr w:type="spellEnd"/>
      <w:r w:rsidRPr="007A615E">
        <w:rPr>
          <w:rFonts w:ascii="Times New Roman" w:hAnsi="Times New Roman" w:cs="Times New Roman"/>
          <w:sz w:val="28"/>
          <w:szCs w:val="28"/>
          <w:lang w:val="uk-UA"/>
        </w:rPr>
        <w:t xml:space="preserve">, Запорізькому та Приморському районах. </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На Інвестиційному порталі Запорізької області (http://investment.zoda.gov.ua) розміщені інтерактивні карти вільних земельних ділянок для інвестиційної діяльності.</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На етапі планування перебуває створення індустріального парку "</w:t>
      </w:r>
      <w:proofErr w:type="spellStart"/>
      <w:r w:rsidRPr="007A615E">
        <w:rPr>
          <w:rFonts w:ascii="Times New Roman" w:hAnsi="Times New Roman" w:cs="Times New Roman"/>
          <w:sz w:val="28"/>
          <w:szCs w:val="28"/>
          <w:lang w:val="uk-UA"/>
        </w:rPr>
        <w:t>Гуляйпільський</w:t>
      </w:r>
      <w:proofErr w:type="spellEnd"/>
      <w:r w:rsidRPr="007A615E">
        <w:rPr>
          <w:rFonts w:ascii="Times New Roman" w:hAnsi="Times New Roman" w:cs="Times New Roman"/>
          <w:sz w:val="28"/>
          <w:szCs w:val="28"/>
          <w:lang w:val="uk-UA"/>
        </w:rPr>
        <w:t xml:space="preserve">" (обсяг інвестицій – 50 млн </w:t>
      </w:r>
      <w:proofErr w:type="spellStart"/>
      <w:r w:rsidRPr="007A615E">
        <w:rPr>
          <w:rFonts w:ascii="Times New Roman" w:hAnsi="Times New Roman" w:cs="Times New Roman"/>
          <w:sz w:val="28"/>
          <w:szCs w:val="28"/>
          <w:lang w:val="uk-UA"/>
        </w:rPr>
        <w:t>дол</w:t>
      </w:r>
      <w:proofErr w:type="spellEnd"/>
      <w:r w:rsidRPr="007A615E">
        <w:rPr>
          <w:rFonts w:ascii="Times New Roman" w:hAnsi="Times New Roman" w:cs="Times New Roman"/>
          <w:sz w:val="28"/>
          <w:szCs w:val="28"/>
          <w:lang w:val="uk-UA"/>
        </w:rPr>
        <w:t>. США; термін окупності 7 років).</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 xml:space="preserve">Здійснюються заходи щодо створення індустріального парку з глибокої переробки зерна "Житниця" у м. Бердянськ (обсяг інвестицій – 3,7 млн </w:t>
      </w:r>
      <w:proofErr w:type="spellStart"/>
      <w:r w:rsidRPr="007A615E">
        <w:rPr>
          <w:rFonts w:ascii="Times New Roman" w:hAnsi="Times New Roman" w:cs="Times New Roman"/>
          <w:sz w:val="28"/>
          <w:szCs w:val="28"/>
          <w:lang w:val="uk-UA"/>
        </w:rPr>
        <w:t>дол</w:t>
      </w:r>
      <w:proofErr w:type="spellEnd"/>
      <w:r w:rsidRPr="007A615E">
        <w:rPr>
          <w:rFonts w:ascii="Times New Roman" w:hAnsi="Times New Roman" w:cs="Times New Roman"/>
          <w:sz w:val="28"/>
          <w:szCs w:val="28"/>
          <w:lang w:val="uk-UA"/>
        </w:rPr>
        <w:t>. США; термін окупності 2 роки).</w:t>
      </w:r>
    </w:p>
    <w:p w:rsidR="002A236C"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 xml:space="preserve">Облдержадміністрацією проводиться робота з підготовки до створення в області мережі індустріальних парків, у ході якої планується залучити представників закладів вищої освіти, ключових наукових інституцій для створення і розвитку наукових парків на території області. </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Натепер підписано дві угоди про співробітництво щодо:</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w:t>
      </w:r>
      <w:r w:rsidRPr="007A615E">
        <w:rPr>
          <w:rFonts w:ascii="Times New Roman" w:hAnsi="Times New Roman" w:cs="Times New Roman"/>
          <w:sz w:val="28"/>
          <w:szCs w:val="28"/>
          <w:lang w:val="uk-UA"/>
        </w:rPr>
        <w:tab/>
        <w:t xml:space="preserve">створення індустріального парку – між </w:t>
      </w:r>
      <w:proofErr w:type="spellStart"/>
      <w:r w:rsidRPr="007A615E">
        <w:rPr>
          <w:rFonts w:ascii="Times New Roman" w:hAnsi="Times New Roman" w:cs="Times New Roman"/>
          <w:sz w:val="28"/>
          <w:szCs w:val="28"/>
          <w:lang w:val="uk-UA"/>
        </w:rPr>
        <w:t>Широківською</w:t>
      </w:r>
      <w:proofErr w:type="spellEnd"/>
      <w:r w:rsidRPr="007A615E">
        <w:rPr>
          <w:rFonts w:ascii="Times New Roman" w:hAnsi="Times New Roman" w:cs="Times New Roman"/>
          <w:sz w:val="28"/>
          <w:szCs w:val="28"/>
          <w:lang w:val="uk-UA"/>
        </w:rPr>
        <w:t xml:space="preserve"> сільською радою Запорізького району, корпорацією "</w:t>
      </w:r>
      <w:proofErr w:type="spellStart"/>
      <w:r w:rsidRPr="007A615E">
        <w:rPr>
          <w:rFonts w:ascii="Times New Roman" w:hAnsi="Times New Roman" w:cs="Times New Roman"/>
          <w:sz w:val="28"/>
          <w:szCs w:val="28"/>
          <w:lang w:val="uk-UA"/>
        </w:rPr>
        <w:t>Рассвет</w:t>
      </w:r>
      <w:proofErr w:type="spellEnd"/>
      <w:r w:rsidRPr="007A615E">
        <w:rPr>
          <w:rFonts w:ascii="Times New Roman" w:hAnsi="Times New Roman" w:cs="Times New Roman"/>
          <w:sz w:val="28"/>
          <w:szCs w:val="28"/>
          <w:lang w:val="uk-UA"/>
        </w:rPr>
        <w:t>" та ДНВЗ авіаційного профілю "Запорізький центр льотної підготовки ім. Маршала авіації О.І. Покришкіна";</w:t>
      </w:r>
    </w:p>
    <w:p w:rsidR="007A615E" w:rsidRPr="007A615E"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w:t>
      </w:r>
      <w:r w:rsidRPr="007A615E">
        <w:rPr>
          <w:rFonts w:ascii="Times New Roman" w:hAnsi="Times New Roman" w:cs="Times New Roman"/>
          <w:sz w:val="28"/>
          <w:szCs w:val="28"/>
          <w:lang w:val="uk-UA"/>
        </w:rPr>
        <w:tab/>
        <w:t>розбудови туристичного потенціалу м. Мелітополь – між Мелітопольським державним педагогічним університетом ім. Богдана Хмельницького, Мелітопольською міською радою та Агенцією розвитку.</w:t>
      </w:r>
    </w:p>
    <w:p w:rsidR="002A236C" w:rsidRDefault="002A236C" w:rsidP="00256CE1">
      <w:pPr>
        <w:spacing w:after="0"/>
        <w:ind w:firstLine="567"/>
        <w:jc w:val="both"/>
        <w:rPr>
          <w:rFonts w:ascii="Times New Roman" w:hAnsi="Times New Roman" w:cs="Times New Roman"/>
          <w:sz w:val="28"/>
          <w:szCs w:val="28"/>
          <w:lang w:val="uk-UA"/>
        </w:rPr>
      </w:pPr>
    </w:p>
    <w:p w:rsidR="006C4E5C" w:rsidRDefault="007A615E" w:rsidP="00256CE1">
      <w:pPr>
        <w:spacing w:after="0"/>
        <w:ind w:firstLine="567"/>
        <w:jc w:val="both"/>
        <w:rPr>
          <w:rFonts w:ascii="Times New Roman" w:hAnsi="Times New Roman" w:cs="Times New Roman"/>
          <w:sz w:val="28"/>
          <w:szCs w:val="28"/>
          <w:lang w:val="uk-UA"/>
        </w:rPr>
      </w:pPr>
      <w:r w:rsidRPr="007A615E">
        <w:rPr>
          <w:rFonts w:ascii="Times New Roman" w:hAnsi="Times New Roman" w:cs="Times New Roman"/>
          <w:sz w:val="28"/>
          <w:szCs w:val="28"/>
          <w:lang w:val="uk-UA"/>
        </w:rPr>
        <w:t>У подальшому планується створення мережі індустріальних парків у сфері промисловості, сільського господарства та ІТ-індустрії в містах Запоріжжя, Бердянськ, Гуляйполе та в с. Широке Запорізького району.</w:t>
      </w:r>
    </w:p>
    <w:p w:rsidR="002A236C" w:rsidRDefault="002A236C" w:rsidP="00256CE1">
      <w:pPr>
        <w:spacing w:after="0"/>
        <w:ind w:firstLine="567"/>
        <w:jc w:val="both"/>
        <w:rPr>
          <w:rFonts w:ascii="Times New Roman" w:hAnsi="Times New Roman" w:cs="Times New Roman"/>
          <w:sz w:val="28"/>
          <w:szCs w:val="28"/>
          <w:lang w:val="uk-UA"/>
        </w:rPr>
      </w:pPr>
    </w:p>
    <w:p w:rsidR="002A236C" w:rsidRDefault="002A236C" w:rsidP="002A236C">
      <w:pPr>
        <w:ind w:firstLine="567"/>
        <w:jc w:val="both"/>
        <w:rPr>
          <w:rFonts w:ascii="Times New Roman" w:hAnsi="Times New Roman" w:cs="Times New Roman"/>
          <w:sz w:val="28"/>
          <w:szCs w:val="28"/>
          <w:lang w:val="uk-UA"/>
        </w:rPr>
      </w:pPr>
    </w:p>
    <w:p w:rsidR="00770F2D" w:rsidRDefault="00770F2D" w:rsidP="002A236C">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B817C9">
        <w:rPr>
          <w:rFonts w:ascii="Times New Roman" w:hAnsi="Times New Roman" w:cs="Times New Roman"/>
          <w:sz w:val="28"/>
          <w:szCs w:val="28"/>
          <w:lang w:val="uk-UA"/>
        </w:rPr>
        <w:t>Законодавче забезпечення діяльності індустріальних парків</w:t>
      </w:r>
      <w:r>
        <w:rPr>
          <w:rFonts w:ascii="Times New Roman" w:hAnsi="Times New Roman" w:cs="Times New Roman"/>
          <w:sz w:val="28"/>
          <w:szCs w:val="28"/>
          <w:lang w:val="uk-UA"/>
        </w:rPr>
        <w:t xml:space="preserve"> в Україні</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У сфері політики щодо створення і функціонування індустріальних парків діють такі нормативно-правові акти:</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lastRenderedPageBreak/>
        <w:t>Конституція України;</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Податковий кодекс України;</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Цивільний кодекс України;</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Господарський кодекс України;</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Закон України "Про індустріальні парки";</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Указ Президента України від 30.09.2019 № 722 "Про Цілі сталого розвитку України на період до 2030 року";</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 xml:space="preserve">постанова Кабінету Міністрів України від 27.05.2020 № 534 "Про затвердження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w:t>
      </w:r>
      <w:proofErr w:type="spellStart"/>
      <w:r w:rsidRPr="00770F2D">
        <w:rPr>
          <w:rFonts w:ascii="Times New Roman" w:hAnsi="Times New Roman" w:cs="Times New Roman"/>
          <w:sz w:val="28"/>
          <w:szCs w:val="28"/>
          <w:lang w:val="uk-UA"/>
        </w:rPr>
        <w:t>коронавірусом</w:t>
      </w:r>
      <w:proofErr w:type="spellEnd"/>
      <w:r w:rsidRPr="00770F2D">
        <w:rPr>
          <w:rFonts w:ascii="Times New Roman" w:hAnsi="Times New Roman" w:cs="Times New Roman"/>
          <w:sz w:val="28"/>
          <w:szCs w:val="28"/>
          <w:lang w:val="uk-UA"/>
        </w:rPr>
        <w:t xml:space="preserve"> SARS-CoV-2, на 2020-2022 роки";</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постанова Кабінету Міністрів України від 03.03.2021 № 179 "Про затвердження Національної економічної стратегії на період до 2030 року;</w:t>
      </w:r>
    </w:p>
    <w:p w:rsidR="00770F2D" w:rsidRPr="00770F2D"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постанова Кабінету Міністрів України від 19.01.2022 № 25 "Про затвердження Порядку розгляду документів про включення індустріального (промислового) парку до Реєстру індустріальних (промислових) парків";</w:t>
      </w:r>
    </w:p>
    <w:p w:rsidR="002A236C" w:rsidRDefault="00770F2D" w:rsidP="00770F2D">
      <w:pPr>
        <w:spacing w:after="0"/>
        <w:ind w:firstLine="567"/>
        <w:jc w:val="both"/>
        <w:rPr>
          <w:rFonts w:ascii="Times New Roman" w:hAnsi="Times New Roman" w:cs="Times New Roman"/>
          <w:sz w:val="28"/>
          <w:szCs w:val="28"/>
          <w:lang w:val="uk-UA"/>
        </w:rPr>
      </w:pPr>
      <w:r w:rsidRPr="00770F2D">
        <w:rPr>
          <w:rFonts w:ascii="Times New Roman" w:hAnsi="Times New Roman" w:cs="Times New Roman"/>
          <w:sz w:val="28"/>
          <w:szCs w:val="28"/>
          <w:lang w:val="uk-UA"/>
        </w:rPr>
        <w:t>постанова Кабінету Міністрів України від 19.01.2022 № 27 "Про затвердження Порядку ведення Реєстру індустріальних (промислових) парків".</w:t>
      </w:r>
    </w:p>
    <w:p w:rsidR="00BA4D64" w:rsidRDefault="00BA4D64" w:rsidP="00770F2D">
      <w:pPr>
        <w:spacing w:after="0"/>
        <w:ind w:firstLine="567"/>
        <w:jc w:val="both"/>
        <w:rPr>
          <w:rFonts w:ascii="Times New Roman" w:hAnsi="Times New Roman" w:cs="Times New Roman"/>
          <w:sz w:val="28"/>
          <w:szCs w:val="28"/>
          <w:lang w:val="uk-UA"/>
        </w:rPr>
      </w:pPr>
    </w:p>
    <w:p w:rsidR="00BA4D64" w:rsidRPr="00BA4D64" w:rsidRDefault="00BA4D64" w:rsidP="00BA4D64">
      <w:pPr>
        <w:tabs>
          <w:tab w:val="left" w:pos="1134"/>
        </w:tabs>
        <w:spacing w:after="0" w:line="240" w:lineRule="auto"/>
        <w:ind w:firstLine="567"/>
        <w:rPr>
          <w:rFonts w:ascii="Times New Roman" w:hAnsi="Times New Roman"/>
          <w:sz w:val="28"/>
          <w:szCs w:val="28"/>
          <w:lang w:val="uk-UA" w:eastAsia="uk-UA"/>
        </w:rPr>
      </w:pPr>
      <w:r>
        <w:rPr>
          <w:rFonts w:ascii="Times New Roman" w:hAnsi="Times New Roman"/>
          <w:sz w:val="28"/>
          <w:szCs w:val="28"/>
          <w:lang w:val="uk-UA" w:eastAsia="uk-UA"/>
        </w:rPr>
        <w:t>Т</w:t>
      </w:r>
      <w:r w:rsidRPr="00BA4D64">
        <w:rPr>
          <w:rFonts w:ascii="Times New Roman" w:hAnsi="Times New Roman"/>
          <w:sz w:val="28"/>
          <w:szCs w:val="28"/>
          <w:lang w:val="uk-UA" w:eastAsia="uk-UA"/>
        </w:rPr>
        <w:t xml:space="preserve">акож, розроблено Стратегію </w:t>
      </w:r>
      <w:r w:rsidRPr="00BA4D64">
        <w:rPr>
          <w:rFonts w:ascii="Times New Roman" w:hAnsi="Times New Roman"/>
          <w:sz w:val="28"/>
          <w:szCs w:val="28"/>
          <w:lang w:val="uk-UA" w:eastAsia="uk-UA"/>
        </w:rPr>
        <w:t>розвитку індустріальних парків на період до 2030 року</w:t>
      </w:r>
      <w:r w:rsidRPr="00BA4D64">
        <w:rPr>
          <w:rFonts w:ascii="Times New Roman" w:hAnsi="Times New Roman"/>
          <w:sz w:val="28"/>
          <w:szCs w:val="28"/>
          <w:lang w:val="uk-UA" w:eastAsia="uk-UA"/>
        </w:rPr>
        <w:t xml:space="preserve">. </w:t>
      </w:r>
    </w:p>
    <w:p w:rsidR="00BA4D64" w:rsidRPr="00BA4D64" w:rsidRDefault="00BA4D64" w:rsidP="00BA4D64">
      <w:pPr>
        <w:tabs>
          <w:tab w:val="left" w:pos="1134"/>
        </w:tabs>
        <w:spacing w:after="0" w:line="240" w:lineRule="auto"/>
        <w:ind w:firstLine="567"/>
        <w:rPr>
          <w:rFonts w:ascii="Times New Roman" w:hAnsi="Times New Roman"/>
          <w:sz w:val="28"/>
          <w:szCs w:val="28"/>
          <w:lang w:eastAsia="uk-UA"/>
        </w:rPr>
      </w:pPr>
      <w:r w:rsidRPr="00BA4D64">
        <w:rPr>
          <w:rFonts w:ascii="Times New Roman" w:hAnsi="Times New Roman"/>
          <w:sz w:val="28"/>
          <w:szCs w:val="28"/>
          <w:lang w:eastAsia="uk-UA"/>
        </w:rPr>
        <w:t xml:space="preserve">В </w:t>
      </w:r>
      <w:proofErr w:type="spellStart"/>
      <w:r w:rsidRPr="00BA4D64">
        <w:rPr>
          <w:rFonts w:ascii="Times New Roman" w:hAnsi="Times New Roman"/>
          <w:sz w:val="28"/>
          <w:szCs w:val="28"/>
          <w:lang w:eastAsia="uk-UA"/>
        </w:rPr>
        <w:t>результаті</w:t>
      </w:r>
      <w:proofErr w:type="spellEnd"/>
      <w:r w:rsidRPr="00BA4D64">
        <w:rPr>
          <w:rFonts w:ascii="Times New Roman" w:hAnsi="Times New Roman"/>
          <w:sz w:val="28"/>
          <w:szCs w:val="28"/>
          <w:lang w:eastAsia="uk-UA"/>
        </w:rPr>
        <w:t xml:space="preserve"> </w:t>
      </w:r>
      <w:proofErr w:type="spellStart"/>
      <w:r w:rsidRPr="00BA4D64">
        <w:rPr>
          <w:rFonts w:ascii="Times New Roman" w:hAnsi="Times New Roman"/>
          <w:sz w:val="28"/>
          <w:szCs w:val="28"/>
          <w:lang w:eastAsia="uk-UA"/>
        </w:rPr>
        <w:t>реалізації</w:t>
      </w:r>
      <w:proofErr w:type="spellEnd"/>
      <w:r w:rsidRPr="00BA4D64">
        <w:rPr>
          <w:rFonts w:ascii="Times New Roman" w:hAnsi="Times New Roman"/>
          <w:sz w:val="28"/>
          <w:szCs w:val="28"/>
          <w:lang w:eastAsia="uk-UA"/>
        </w:rPr>
        <w:t xml:space="preserve"> </w:t>
      </w:r>
      <w:proofErr w:type="spellStart"/>
      <w:r w:rsidRPr="00BA4D64">
        <w:rPr>
          <w:rFonts w:ascii="Times New Roman" w:hAnsi="Times New Roman"/>
          <w:sz w:val="28"/>
          <w:szCs w:val="28"/>
          <w:lang w:eastAsia="uk-UA"/>
        </w:rPr>
        <w:t>Стратегії</w:t>
      </w:r>
      <w:proofErr w:type="spellEnd"/>
      <w:r w:rsidRPr="00BA4D64">
        <w:rPr>
          <w:rFonts w:ascii="Times New Roman" w:hAnsi="Times New Roman"/>
          <w:sz w:val="28"/>
          <w:szCs w:val="28"/>
          <w:lang w:eastAsia="uk-UA"/>
        </w:rPr>
        <w:t xml:space="preserve">, на початок 2030 року в </w:t>
      </w:r>
      <w:proofErr w:type="spellStart"/>
      <w:r w:rsidRPr="00BA4D64">
        <w:rPr>
          <w:rFonts w:ascii="Times New Roman" w:hAnsi="Times New Roman"/>
          <w:sz w:val="28"/>
          <w:szCs w:val="28"/>
          <w:lang w:eastAsia="uk-UA"/>
        </w:rPr>
        <w:t>Україні</w:t>
      </w:r>
      <w:proofErr w:type="spellEnd"/>
      <w:r w:rsidRPr="00BA4D64">
        <w:rPr>
          <w:rFonts w:ascii="Times New Roman" w:hAnsi="Times New Roman"/>
          <w:sz w:val="28"/>
          <w:szCs w:val="28"/>
          <w:lang w:eastAsia="uk-UA"/>
        </w:rPr>
        <w:t xml:space="preserve"> </w:t>
      </w:r>
      <w:proofErr w:type="spellStart"/>
      <w:proofErr w:type="gramStart"/>
      <w:r w:rsidRPr="00BA4D64">
        <w:rPr>
          <w:rFonts w:ascii="Times New Roman" w:hAnsi="Times New Roman"/>
          <w:sz w:val="28"/>
          <w:szCs w:val="28"/>
          <w:lang w:eastAsia="uk-UA"/>
        </w:rPr>
        <w:t>очіку</w:t>
      </w:r>
      <w:proofErr w:type="gramEnd"/>
      <w:r w:rsidRPr="00BA4D64">
        <w:rPr>
          <w:rFonts w:ascii="Times New Roman" w:hAnsi="Times New Roman"/>
          <w:sz w:val="28"/>
          <w:szCs w:val="28"/>
          <w:lang w:eastAsia="uk-UA"/>
        </w:rPr>
        <w:t>ється</w:t>
      </w:r>
      <w:proofErr w:type="spellEnd"/>
      <w:r w:rsidRPr="00BA4D64">
        <w:rPr>
          <w:rFonts w:ascii="Times New Roman" w:hAnsi="Times New Roman"/>
          <w:sz w:val="28"/>
          <w:szCs w:val="28"/>
          <w:lang w:eastAsia="uk-UA"/>
        </w:rPr>
        <w:t xml:space="preserve">, </w:t>
      </w:r>
      <w:proofErr w:type="spellStart"/>
      <w:r w:rsidRPr="00BA4D64">
        <w:rPr>
          <w:rFonts w:ascii="Times New Roman" w:hAnsi="Times New Roman"/>
          <w:sz w:val="28"/>
          <w:szCs w:val="28"/>
          <w:lang w:eastAsia="uk-UA"/>
        </w:rPr>
        <w:t>що</w:t>
      </w:r>
      <w:proofErr w:type="spellEnd"/>
      <w:r w:rsidRPr="00BA4D64">
        <w:rPr>
          <w:rFonts w:ascii="Times New Roman" w:hAnsi="Times New Roman"/>
          <w:sz w:val="28"/>
          <w:szCs w:val="28"/>
          <w:lang w:eastAsia="uk-UA"/>
        </w:rPr>
        <w:t xml:space="preserve"> буде:</w:t>
      </w:r>
    </w:p>
    <w:p w:rsidR="00BA4D64" w:rsidRPr="00116677" w:rsidRDefault="00BA4D64" w:rsidP="00BA4D64">
      <w:pPr>
        <w:pStyle w:val="a5"/>
        <w:numPr>
          <w:ilvl w:val="0"/>
          <w:numId w:val="1"/>
        </w:numPr>
        <w:tabs>
          <w:tab w:val="left" w:pos="1134"/>
        </w:tabs>
        <w:spacing w:line="240" w:lineRule="auto"/>
        <w:ind w:leftChars="0" w:left="0" w:firstLine="567"/>
        <w:jc w:val="both"/>
        <w:rPr>
          <w:rFonts w:ascii="Times New Roman" w:hAnsi="Times New Roman" w:cs="Times New Roman"/>
          <w:sz w:val="28"/>
          <w:szCs w:val="28"/>
        </w:rPr>
      </w:pPr>
      <w:r w:rsidRPr="00116677">
        <w:rPr>
          <w:rFonts w:ascii="Times New Roman" w:hAnsi="Times New Roman" w:cs="Times New Roman"/>
          <w:sz w:val="28"/>
          <w:szCs w:val="28"/>
        </w:rPr>
        <w:t>створено, включено до Реєстру та функціонують не менше:</w:t>
      </w:r>
    </w:p>
    <w:p w:rsidR="00BA4D64" w:rsidRPr="00116677" w:rsidRDefault="00BA4D64" w:rsidP="00BA4D64">
      <w:pPr>
        <w:tabs>
          <w:tab w:val="left" w:pos="1134"/>
        </w:tabs>
        <w:spacing w:after="0" w:line="240" w:lineRule="auto"/>
        <w:ind w:firstLine="567"/>
        <w:rPr>
          <w:rFonts w:ascii="Times New Roman" w:hAnsi="Times New Roman"/>
          <w:sz w:val="28"/>
          <w:szCs w:val="28"/>
          <w:lang w:eastAsia="uk-UA"/>
        </w:rPr>
      </w:pPr>
      <w:proofErr w:type="gramStart"/>
      <w:r w:rsidRPr="00116677">
        <w:rPr>
          <w:rFonts w:ascii="Times New Roman" w:hAnsi="Times New Roman"/>
          <w:sz w:val="28"/>
          <w:szCs w:val="28"/>
          <w:lang w:eastAsia="uk-UA"/>
        </w:rPr>
        <w:t xml:space="preserve">30 </w:t>
      </w:r>
      <w:proofErr w:type="spellStart"/>
      <w:r w:rsidRPr="00116677">
        <w:rPr>
          <w:rFonts w:ascii="Times New Roman" w:hAnsi="Times New Roman"/>
          <w:sz w:val="28"/>
          <w:szCs w:val="28"/>
          <w:lang w:eastAsia="uk-UA"/>
        </w:rPr>
        <w:t>індустріальних</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парків</w:t>
      </w:r>
      <w:proofErr w:type="spellEnd"/>
      <w:r w:rsidRPr="00116677">
        <w:rPr>
          <w:rFonts w:ascii="Times New Roman" w:hAnsi="Times New Roman"/>
          <w:sz w:val="28"/>
          <w:szCs w:val="28"/>
          <w:lang w:eastAsia="uk-UA"/>
        </w:rPr>
        <w:t xml:space="preserve">, в кожному з </w:t>
      </w:r>
      <w:proofErr w:type="spellStart"/>
      <w:r w:rsidRPr="00116677">
        <w:rPr>
          <w:rFonts w:ascii="Times New Roman" w:hAnsi="Times New Roman"/>
          <w:sz w:val="28"/>
          <w:szCs w:val="28"/>
          <w:lang w:eastAsia="uk-UA"/>
        </w:rPr>
        <w:t>яких</w:t>
      </w:r>
      <w:proofErr w:type="spellEnd"/>
      <w:r w:rsidRPr="00116677">
        <w:rPr>
          <w:rFonts w:ascii="Times New Roman" w:hAnsi="Times New Roman"/>
          <w:sz w:val="28"/>
          <w:szCs w:val="28"/>
          <w:lang w:eastAsia="uk-UA"/>
        </w:rPr>
        <w:t xml:space="preserve"> є </w:t>
      </w:r>
      <w:proofErr w:type="spellStart"/>
      <w:r w:rsidRPr="00116677">
        <w:rPr>
          <w:rFonts w:ascii="Times New Roman" w:hAnsi="Times New Roman"/>
          <w:sz w:val="28"/>
          <w:szCs w:val="28"/>
          <w:lang w:eastAsia="uk-UA"/>
        </w:rPr>
        <w:t>більше</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двох</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учасників</w:t>
      </w:r>
      <w:proofErr w:type="spellEnd"/>
      <w:r w:rsidRPr="00116677">
        <w:rPr>
          <w:rFonts w:ascii="Times New Roman" w:hAnsi="Times New Roman"/>
          <w:sz w:val="28"/>
          <w:szCs w:val="28"/>
          <w:lang w:eastAsia="uk-UA"/>
        </w:rPr>
        <w:t xml:space="preserve">, в тому </w:t>
      </w:r>
      <w:proofErr w:type="spellStart"/>
      <w:r w:rsidRPr="00116677">
        <w:rPr>
          <w:rFonts w:ascii="Times New Roman" w:hAnsi="Times New Roman"/>
          <w:sz w:val="28"/>
          <w:szCs w:val="28"/>
          <w:lang w:eastAsia="uk-UA"/>
        </w:rPr>
        <w:t>числі</w:t>
      </w:r>
      <w:proofErr w:type="spellEnd"/>
      <w:r w:rsidRPr="00116677">
        <w:rPr>
          <w:rFonts w:ascii="Times New Roman" w:hAnsi="Times New Roman"/>
          <w:sz w:val="28"/>
          <w:szCs w:val="28"/>
          <w:lang w:eastAsia="uk-UA"/>
        </w:rPr>
        <w:t xml:space="preserve"> не </w:t>
      </w:r>
      <w:proofErr w:type="spellStart"/>
      <w:r w:rsidRPr="00116677">
        <w:rPr>
          <w:rFonts w:ascii="Times New Roman" w:hAnsi="Times New Roman"/>
          <w:sz w:val="28"/>
          <w:szCs w:val="28"/>
          <w:lang w:eastAsia="uk-UA"/>
        </w:rPr>
        <w:t>менше</w:t>
      </w:r>
      <w:proofErr w:type="spellEnd"/>
      <w:r w:rsidRPr="00116677">
        <w:rPr>
          <w:rFonts w:ascii="Times New Roman" w:hAnsi="Times New Roman"/>
          <w:sz w:val="28"/>
          <w:szCs w:val="28"/>
          <w:lang w:eastAsia="uk-UA"/>
        </w:rPr>
        <w:t xml:space="preserve"> 5 </w:t>
      </w:r>
      <w:proofErr w:type="spellStart"/>
      <w:r w:rsidRPr="00116677">
        <w:rPr>
          <w:rFonts w:ascii="Times New Roman" w:hAnsi="Times New Roman"/>
          <w:sz w:val="28"/>
          <w:szCs w:val="28"/>
          <w:lang w:eastAsia="uk-UA"/>
        </w:rPr>
        <w:t>індустріальних</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парків</w:t>
      </w:r>
      <w:proofErr w:type="spellEnd"/>
      <w:r w:rsidRPr="00116677">
        <w:rPr>
          <w:rFonts w:ascii="Times New Roman" w:hAnsi="Times New Roman"/>
          <w:sz w:val="28"/>
          <w:szCs w:val="28"/>
          <w:lang w:eastAsia="uk-UA"/>
        </w:rPr>
        <w:t xml:space="preserve">  у </w:t>
      </w:r>
      <w:proofErr w:type="spellStart"/>
      <w:r w:rsidRPr="00116677">
        <w:rPr>
          <w:rFonts w:ascii="Times New Roman" w:hAnsi="Times New Roman"/>
          <w:sz w:val="28"/>
          <w:szCs w:val="28"/>
          <w:lang w:eastAsia="uk-UA"/>
        </w:rPr>
        <w:t>вугільних</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регіонах</w:t>
      </w:r>
      <w:proofErr w:type="spellEnd"/>
      <w:r w:rsidRPr="00116677">
        <w:rPr>
          <w:rFonts w:ascii="Times New Roman" w:hAnsi="Times New Roman"/>
          <w:sz w:val="28"/>
          <w:szCs w:val="28"/>
          <w:lang w:eastAsia="uk-UA"/>
        </w:rPr>
        <w:t>;</w:t>
      </w:r>
      <w:proofErr w:type="gramEnd"/>
    </w:p>
    <w:p w:rsidR="00BA4D64" w:rsidRPr="00116677" w:rsidRDefault="00BA4D64" w:rsidP="00BA4D64">
      <w:pPr>
        <w:tabs>
          <w:tab w:val="left" w:pos="1134"/>
        </w:tabs>
        <w:spacing w:after="0" w:line="240" w:lineRule="auto"/>
        <w:ind w:firstLine="567"/>
        <w:rPr>
          <w:rFonts w:ascii="Times New Roman" w:hAnsi="Times New Roman"/>
          <w:sz w:val="28"/>
          <w:szCs w:val="28"/>
          <w:lang w:eastAsia="uk-UA"/>
        </w:rPr>
      </w:pPr>
      <w:r w:rsidRPr="00116677">
        <w:rPr>
          <w:rFonts w:ascii="Times New Roman" w:hAnsi="Times New Roman"/>
          <w:sz w:val="28"/>
          <w:szCs w:val="28"/>
          <w:lang w:eastAsia="uk-UA"/>
        </w:rPr>
        <w:t xml:space="preserve">5 </w:t>
      </w:r>
      <w:proofErr w:type="spellStart"/>
      <w:r w:rsidRPr="00116677">
        <w:rPr>
          <w:rFonts w:ascii="Times New Roman" w:hAnsi="Times New Roman"/>
          <w:sz w:val="28"/>
          <w:szCs w:val="28"/>
          <w:lang w:eastAsia="uk-UA"/>
        </w:rPr>
        <w:t>індустріальних</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парків</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що</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матимуть</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більше</w:t>
      </w:r>
      <w:proofErr w:type="spellEnd"/>
      <w:r w:rsidRPr="00116677">
        <w:rPr>
          <w:rFonts w:ascii="Times New Roman" w:hAnsi="Times New Roman"/>
          <w:sz w:val="28"/>
          <w:szCs w:val="28"/>
          <w:lang w:eastAsia="uk-UA"/>
        </w:rPr>
        <w:t xml:space="preserve"> 10 </w:t>
      </w:r>
      <w:proofErr w:type="spellStart"/>
      <w:r w:rsidRPr="00116677">
        <w:rPr>
          <w:rFonts w:ascii="Times New Roman" w:hAnsi="Times New Roman"/>
          <w:sz w:val="28"/>
          <w:szCs w:val="28"/>
          <w:lang w:eastAsia="uk-UA"/>
        </w:rPr>
        <w:t>учасників</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функціонування</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яких</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відповідає</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моделі</w:t>
      </w:r>
      <w:proofErr w:type="spellEnd"/>
      <w:r w:rsidRPr="00116677">
        <w:rPr>
          <w:rFonts w:ascii="Times New Roman" w:hAnsi="Times New Roman"/>
          <w:sz w:val="28"/>
          <w:szCs w:val="28"/>
          <w:lang w:eastAsia="uk-UA"/>
        </w:rPr>
        <w:t xml:space="preserve"> </w:t>
      </w:r>
      <w:proofErr w:type="spellStart"/>
      <w:r w:rsidRPr="00116677">
        <w:rPr>
          <w:rFonts w:ascii="Times New Roman" w:hAnsi="Times New Roman"/>
          <w:sz w:val="28"/>
          <w:szCs w:val="28"/>
          <w:lang w:eastAsia="uk-UA"/>
        </w:rPr>
        <w:t>ек</w:t>
      </w:r>
      <w:proofErr w:type="gramStart"/>
      <w:r w:rsidRPr="00116677">
        <w:rPr>
          <w:rFonts w:ascii="Times New Roman" w:hAnsi="Times New Roman"/>
          <w:sz w:val="28"/>
          <w:szCs w:val="28"/>
          <w:lang w:eastAsia="uk-UA"/>
        </w:rPr>
        <w:t>о-</w:t>
      </w:r>
      <w:proofErr w:type="gramEnd"/>
      <w:r w:rsidRPr="00116677">
        <w:rPr>
          <w:rFonts w:ascii="Times New Roman" w:hAnsi="Times New Roman"/>
          <w:sz w:val="28"/>
          <w:szCs w:val="28"/>
          <w:lang w:eastAsia="uk-UA"/>
        </w:rPr>
        <w:t>індустріального</w:t>
      </w:r>
      <w:proofErr w:type="spellEnd"/>
      <w:r w:rsidRPr="00116677">
        <w:rPr>
          <w:rFonts w:ascii="Times New Roman" w:hAnsi="Times New Roman"/>
          <w:sz w:val="28"/>
          <w:szCs w:val="28"/>
          <w:lang w:eastAsia="uk-UA"/>
        </w:rPr>
        <w:t xml:space="preserve"> парку;</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в індустріальних парках створено не менше одного наукового парку, реалізуються проекти наукових парків;</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профінансовано проекти створення інфраструктури індустріальних парків та їх облаштування з державного бюджету в обсязі не менше 16,0 млрд гривень;</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залучено інвестиції в межах індустріальних парків в обсязі не менше 8,0 млрд доларів США;</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 xml:space="preserve">розвиток промислових територій здійснюється переважно шляхом планування та створення індустріальних парків, як на територіях, вільних від забудови, так і на територіях існуючих підприємств та промислових районів, </w:t>
      </w:r>
      <w:r w:rsidRPr="00116677">
        <w:rPr>
          <w:rFonts w:ascii="Times New Roman" w:hAnsi="Times New Roman" w:cs="Times New Roman"/>
          <w:sz w:val="28"/>
          <w:szCs w:val="28"/>
        </w:rPr>
        <w:lastRenderedPageBreak/>
        <w:t>які втрачають своє виробниче значення, а також на територіях у межах портів та на припортових територіях;</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керуючі компанії індустріальних парків забезпечують надання мінімального визначеного переліку послуг для учасників у режимі "єдиного вікна" за єдиними і усталеними підходами надання таких послуг;</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створено центральний орган виконавчої влади, що реалізує державну політику щодо створення і функціонування індустріальних парків на території України;</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створено державну установу для здійснення підтримки ініціаторів створення, керуючих компаній та учасників індустріальних парків з метою активізації створення та розвитку індустріальних парків, а також для сприяння у реалізації Стратегії;</w:t>
      </w:r>
    </w:p>
    <w:p w:rsidR="00BA4D64" w:rsidRPr="00116677" w:rsidRDefault="00BA4D64" w:rsidP="00BA4D64">
      <w:pPr>
        <w:pStyle w:val="a5"/>
        <w:numPr>
          <w:ilvl w:val="0"/>
          <w:numId w:val="1"/>
        </w:numPr>
        <w:tabs>
          <w:tab w:val="left" w:pos="1134"/>
        </w:tabs>
        <w:spacing w:line="240" w:lineRule="auto"/>
        <w:ind w:leftChars="0" w:left="0" w:firstLine="709"/>
        <w:jc w:val="both"/>
        <w:rPr>
          <w:rFonts w:ascii="Times New Roman" w:hAnsi="Times New Roman" w:cs="Times New Roman"/>
          <w:sz w:val="28"/>
          <w:szCs w:val="28"/>
        </w:rPr>
      </w:pPr>
      <w:r w:rsidRPr="00116677">
        <w:rPr>
          <w:rFonts w:ascii="Times New Roman" w:hAnsi="Times New Roman" w:cs="Times New Roman"/>
          <w:sz w:val="28"/>
          <w:szCs w:val="28"/>
        </w:rPr>
        <w:t xml:space="preserve">створено та функціонує щонайменше одна </w:t>
      </w:r>
      <w:proofErr w:type="spellStart"/>
      <w:r w:rsidRPr="00116677">
        <w:rPr>
          <w:rFonts w:ascii="Times New Roman" w:hAnsi="Times New Roman" w:cs="Times New Roman"/>
          <w:sz w:val="28"/>
          <w:szCs w:val="28"/>
        </w:rPr>
        <w:t>саморегулівна</w:t>
      </w:r>
      <w:proofErr w:type="spellEnd"/>
      <w:r w:rsidRPr="00116677">
        <w:rPr>
          <w:rFonts w:ascii="Times New Roman" w:hAnsi="Times New Roman" w:cs="Times New Roman"/>
          <w:sz w:val="28"/>
          <w:szCs w:val="28"/>
        </w:rPr>
        <w:t xml:space="preserve"> професійна організація, яка представляє спільні інтереси не менше третини індустріальних парків, включених до Реєстру.</w:t>
      </w:r>
    </w:p>
    <w:p w:rsidR="00BA4D64" w:rsidRDefault="00BA4D64" w:rsidP="00BA4D64">
      <w:pPr>
        <w:tabs>
          <w:tab w:val="left" w:pos="1134"/>
        </w:tabs>
        <w:spacing w:after="0" w:line="240" w:lineRule="auto"/>
        <w:rPr>
          <w:rFonts w:ascii="Times New Roman" w:hAnsi="Times New Roman"/>
          <w:sz w:val="28"/>
          <w:szCs w:val="28"/>
          <w:lang w:val="uk-UA" w:eastAsia="uk-UA"/>
        </w:rPr>
      </w:pPr>
    </w:p>
    <w:p w:rsidR="00BA4D64" w:rsidRDefault="00BA4D64" w:rsidP="00BA4D64">
      <w:pPr>
        <w:tabs>
          <w:tab w:val="left" w:pos="1134"/>
        </w:tabs>
        <w:spacing w:after="0" w:line="240" w:lineRule="auto"/>
        <w:rPr>
          <w:rFonts w:ascii="Times New Roman" w:hAnsi="Times New Roman"/>
          <w:sz w:val="28"/>
          <w:szCs w:val="28"/>
          <w:lang w:val="uk-UA" w:eastAsia="uk-UA"/>
        </w:rPr>
      </w:pPr>
    </w:p>
    <w:p w:rsidR="00BA4D64" w:rsidRPr="00BA4D64" w:rsidRDefault="00BA4D64" w:rsidP="00BA4D64">
      <w:pPr>
        <w:tabs>
          <w:tab w:val="left" w:pos="1134"/>
        </w:tabs>
        <w:spacing w:after="0" w:line="240" w:lineRule="auto"/>
        <w:rPr>
          <w:rFonts w:ascii="Times New Roman" w:hAnsi="Times New Roman"/>
          <w:sz w:val="28"/>
          <w:szCs w:val="28"/>
          <w:lang w:val="uk-UA" w:eastAsia="uk-UA"/>
        </w:rPr>
      </w:pPr>
    </w:p>
    <w:p w:rsidR="00BA4D64" w:rsidRDefault="00BA4D64" w:rsidP="00BA4D64">
      <w:pPr>
        <w:jc w:val="center"/>
        <w:rPr>
          <w:rFonts w:ascii="Times New Roman" w:hAnsi="Times New Roman" w:cs="Times New Roman"/>
          <w:sz w:val="28"/>
          <w:szCs w:val="28"/>
          <w:lang w:val="uk-UA"/>
        </w:rPr>
      </w:pPr>
      <w:r w:rsidRPr="005A0E93">
        <w:rPr>
          <w:rFonts w:ascii="Times New Roman" w:hAnsi="Times New Roman" w:cs="Times New Roman"/>
          <w:sz w:val="28"/>
          <w:szCs w:val="28"/>
        </w:rPr>
        <w:t xml:space="preserve">3. </w:t>
      </w:r>
      <w:proofErr w:type="spellStart"/>
      <w:r w:rsidRPr="005A0E93">
        <w:rPr>
          <w:rFonts w:ascii="Times New Roman" w:hAnsi="Times New Roman" w:cs="Times New Roman"/>
          <w:sz w:val="28"/>
          <w:szCs w:val="28"/>
        </w:rPr>
        <w:t>Проблеми</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функціонування</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індустріальних</w:t>
      </w:r>
      <w:proofErr w:type="spell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парків</w:t>
      </w:r>
      <w:proofErr w:type="spellEnd"/>
      <w:r w:rsidRPr="005A0E93">
        <w:rPr>
          <w:rFonts w:ascii="Times New Roman" w:hAnsi="Times New Roman" w:cs="Times New Roman"/>
          <w:sz w:val="28"/>
          <w:szCs w:val="28"/>
        </w:rPr>
        <w:t xml:space="preserve"> </w:t>
      </w:r>
      <w:proofErr w:type="gramStart"/>
      <w:r w:rsidRPr="005A0E93">
        <w:rPr>
          <w:rFonts w:ascii="Times New Roman" w:hAnsi="Times New Roman" w:cs="Times New Roman"/>
          <w:sz w:val="28"/>
          <w:szCs w:val="28"/>
        </w:rPr>
        <w:t>в</w:t>
      </w:r>
      <w:proofErr w:type="gramEnd"/>
      <w:r w:rsidRPr="005A0E93">
        <w:rPr>
          <w:rFonts w:ascii="Times New Roman" w:hAnsi="Times New Roman" w:cs="Times New Roman"/>
          <w:sz w:val="28"/>
          <w:szCs w:val="28"/>
        </w:rPr>
        <w:t xml:space="preserve"> </w:t>
      </w:r>
      <w:proofErr w:type="spellStart"/>
      <w:r w:rsidRPr="005A0E93">
        <w:rPr>
          <w:rFonts w:ascii="Times New Roman" w:hAnsi="Times New Roman" w:cs="Times New Roman"/>
          <w:sz w:val="28"/>
          <w:szCs w:val="28"/>
        </w:rPr>
        <w:t>Україні</w:t>
      </w:r>
      <w:proofErr w:type="spellEnd"/>
    </w:p>
    <w:p w:rsidR="00BA4D64" w:rsidRDefault="00BA4D64" w:rsidP="00BA4D64">
      <w:pPr>
        <w:spacing w:after="0"/>
        <w:ind w:firstLine="567"/>
        <w:jc w:val="both"/>
        <w:rPr>
          <w:rFonts w:ascii="Times New Roman" w:hAnsi="Times New Roman" w:cs="Times New Roman"/>
          <w:sz w:val="28"/>
          <w:szCs w:val="28"/>
          <w:lang w:val="uk-UA"/>
        </w:rPr>
      </w:pPr>
    </w:p>
    <w:p w:rsidR="00BA4D64" w:rsidRPr="00BA4D64" w:rsidRDefault="00BA4D64" w:rsidP="00BA4D64">
      <w:pPr>
        <w:spacing w:after="0"/>
        <w:ind w:firstLine="567"/>
        <w:jc w:val="both"/>
        <w:rPr>
          <w:rFonts w:ascii="Times New Roman" w:hAnsi="Times New Roman" w:cs="Times New Roman"/>
          <w:sz w:val="28"/>
          <w:szCs w:val="28"/>
          <w:lang w:val="uk-UA"/>
        </w:rPr>
      </w:pPr>
      <w:bookmarkStart w:id="0" w:name="_GoBack"/>
      <w:bookmarkEnd w:id="0"/>
      <w:r w:rsidRPr="00BA4D64">
        <w:rPr>
          <w:rFonts w:ascii="Times New Roman" w:hAnsi="Times New Roman" w:cs="Times New Roman"/>
          <w:sz w:val="28"/>
          <w:szCs w:val="28"/>
          <w:lang w:val="uk-UA"/>
        </w:rPr>
        <w:t xml:space="preserve">Індустріальні парки можуть запропонувати бізнесу те, що найбільше потрібно – ділянки, готові приміщення, </w:t>
      </w:r>
      <w:proofErr w:type="spellStart"/>
      <w:r w:rsidRPr="00BA4D64">
        <w:rPr>
          <w:rFonts w:ascii="Times New Roman" w:hAnsi="Times New Roman" w:cs="Times New Roman"/>
          <w:sz w:val="28"/>
          <w:szCs w:val="28"/>
          <w:lang w:val="uk-UA"/>
        </w:rPr>
        <w:t>ресурсоефективну</w:t>
      </w:r>
      <w:proofErr w:type="spellEnd"/>
      <w:r w:rsidRPr="00BA4D64">
        <w:rPr>
          <w:rFonts w:ascii="Times New Roman" w:hAnsi="Times New Roman" w:cs="Times New Roman"/>
          <w:sz w:val="28"/>
          <w:szCs w:val="28"/>
          <w:lang w:val="uk-UA"/>
        </w:rPr>
        <w:t xml:space="preserve"> та надійну інфраструктуру інженерних мереж, доступ до кваліфікованих працівників, освітніх установ та супутніх послуг, що дозволяє інвестору зосередитись на основному бізнесі: виробництві товарів, які відповідають національним та міжнародним стандартам якості, користуються попитом на відповідних ринках, його якості або розвитку, вдосконаленні навичок своїх працівників.</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 xml:space="preserve">Світовий досвід демонструє, що індустріальні парки – це перевірений часом та міжнародним досвідом механізм  індустріалізації економіки, модернізації промисловості шляхом впровадження підходів </w:t>
      </w:r>
      <w:proofErr w:type="spellStart"/>
      <w:r w:rsidRPr="00BA4D64">
        <w:rPr>
          <w:rFonts w:ascii="Times New Roman" w:hAnsi="Times New Roman" w:cs="Times New Roman"/>
          <w:sz w:val="28"/>
          <w:szCs w:val="28"/>
          <w:lang w:val="uk-UA"/>
        </w:rPr>
        <w:t>ресурсоефективності</w:t>
      </w:r>
      <w:proofErr w:type="spellEnd"/>
      <w:r w:rsidRPr="00BA4D64">
        <w:rPr>
          <w:rFonts w:ascii="Times New Roman" w:hAnsi="Times New Roman" w:cs="Times New Roman"/>
          <w:sz w:val="28"/>
          <w:szCs w:val="28"/>
          <w:lang w:val="uk-UA"/>
        </w:rPr>
        <w:t xml:space="preserve"> та циркулярної економіки, залучення інвестицій, збільшення зайнятості населення та забезпечення збалансованого регіонального та місцевого розвитку.</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З часу прийняття Закону України "Про індустріальні парки" (далі – Закон) розвиток індустріальних парків не характеризувався динамічністю, адже економічна активність індустріальних парків залишається повільною: на початок 2022 року з 52 індустріальних парків, включених до Реєстру індустріальних (промислових) парків (далі – Реєстр), у 32 індустріальних парках обрано керуючі компанії, а у 8 індустріальних парках є резиденти та інші суб'єкти індустріальних парків.</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lastRenderedPageBreak/>
        <w:t>Водночас, значна частина індустріальних парків, включених до Реєстру, не розвивається та не отримує належної уваги з боку відповідних громад і регіонів.</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Присутній високий ризик неузгодженості ініціатив щодо створення індустріальних парків із перспективами просторового розвитку відповідних територій. Таку ситуацію обумовлює відсутність загалом або наявність застарілої або недосконалої містобудівної документації.</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Створення індустріальних парків у більшості випадків здійснювалося без наявності актуальної містобудівної документації місцевого або регіонального рівня.</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Крім того, відсутність такої документації, чітких стратегій розвитку та інтегрованого просторового планування з акцентом на промисловий симбіоз і синергію не дає можливості належним чином узгодити і обґрунтовано визначати пріоритети розвитку інженерно-транспортної інфраструктури.</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Загалом, значною перешкодою в забезпеченні належного державного стимулювання індустріальних парків є невідповідність ініціатив щодо їх створення та включення до Реєстру пріоритетам соціально-економічного розвитку на місцевому та регіональному рівнях, відображених у відповідних стратегічних документах і планах їх реалізації.</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Одним із основних викликів, актуальних для більшості індустріальних парків, насамперед, створених на земельних ділянках комунальної власності, є пошук фінансових ресурсів для створення їх інженерно-транспортної інфраструктури, приєднання її об'єктів до зовнішніх мереж.</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Керуючі компанії індустріальних парків (далі – керуючі компанії) не вкладають і не готові вкладати власні або залучені з позабюджетних джерел кошти в спорудження будівель в індустріальних парках. Ситуація може змінитися, якщо попит на участь в індустріальних парках буде більш явно виражений і підкріплюватиметься позитивними прикладами. Крім того, парки мають бути орієнтовані на попит на продукцію, що вироблятиметься в їх межах.</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 xml:space="preserve">Таким чином, склалась ситуація, коли індустріальні парки, включені до Реєстру, не демонструють суттєвої динаміки розвитку. В деяких індустріальних парках в Україні вже здійснюється господарська діяльність, але більшість із них все ще знаходиться на початковій стадії розбудови, зокрема, внаслідок ряду системних недоліків у процесі підготовки та реалізації ініціатив щодо створення індустріальних парків, недосконалому законодавчому регулюванні окремих аспектів започаткування та функціонування індустріальних парків, потреби у значних обсягах інвестицій на створення інфраструктури, браку досвіду ініціаторів створення </w:t>
      </w:r>
      <w:r w:rsidRPr="00BA4D64">
        <w:rPr>
          <w:rFonts w:ascii="Times New Roman" w:hAnsi="Times New Roman" w:cs="Times New Roman"/>
          <w:sz w:val="28"/>
          <w:szCs w:val="28"/>
          <w:lang w:val="uk-UA"/>
        </w:rPr>
        <w:lastRenderedPageBreak/>
        <w:t>індустріальних парків (далі – ініціатори створення) і керуючих компаній щодо реалізації таких проектів, що призводить до значної затримки у їх реалізації.</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 xml:space="preserve">Ці обставини також негативно впливають на інвестиційний клімат, оскільки відсутня спроможність надати потенційним учасникам індустріальних парків якісну пропозицію щодо розміщення їх виробничих </w:t>
      </w:r>
      <w:proofErr w:type="spellStart"/>
      <w:r w:rsidRPr="00BA4D64">
        <w:rPr>
          <w:rFonts w:ascii="Times New Roman" w:hAnsi="Times New Roman" w:cs="Times New Roman"/>
          <w:sz w:val="28"/>
          <w:szCs w:val="28"/>
          <w:lang w:val="uk-UA"/>
        </w:rPr>
        <w:t>потужностей</w:t>
      </w:r>
      <w:proofErr w:type="spellEnd"/>
      <w:r w:rsidRPr="00BA4D64">
        <w:rPr>
          <w:rFonts w:ascii="Times New Roman" w:hAnsi="Times New Roman" w:cs="Times New Roman"/>
          <w:sz w:val="28"/>
          <w:szCs w:val="28"/>
          <w:lang w:val="uk-UA"/>
        </w:rPr>
        <w:t xml:space="preserve"> у таких парках.</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Закон передбачає, що вибір території для створення індустріальних парків на землях державної чи комунальної власності, державне стимулювання облаштування та функціонування індустріальних парків може здійснюватися за рахунок коштів державного і місцевих бюджетів та з інших джерел, не заборонених законодавством.</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Джерелами фінансування облаштування індустріального парку можуть бути кошти державного та місцевих бюджетів, виділені в порядку та обсягах, передбачених законодавством, кошти приватних інвесторів, залучені кошти, включаючи кредити банків та інших фінансово-кредитних установ, кошти з інших джерел, не заборонених законодавством.</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Державне стимулювання за рахунок коштів державного бюджету може здійснюватися, зокрема, відповідно до субвенції з державного бюджету місцевим бюджетам на стимулювання розвитку індустріальних парків, передбаченої Державним бюджетом України на 2022 рік, статті 241 (кошти державного фонду регіонального розвитку (далі – ДФРР) і частини першої статті 97 Бюджетного кодексу України, якою передбачено, що у Державному бюджеті України можуть передбачатися трансферти місцевим бюджетам, зокрема, цільові субвенції.</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До 2021 року спрямування коштів ДФРР на проекти регіонального розвитку, що мають на меті створення інфраструктури індустріальних парків, було вкрай недостатнім (загалом з 2016 по 2020 рік за кошти ДФРР було профінансовано лише 4 проекти регіонального розвитку, пов'язані з індустріальними парками "Свема", "Тростянець" і "</w:t>
      </w:r>
      <w:proofErr w:type="spellStart"/>
      <w:r w:rsidRPr="00BA4D64">
        <w:rPr>
          <w:rFonts w:ascii="Times New Roman" w:hAnsi="Times New Roman" w:cs="Times New Roman"/>
          <w:sz w:val="28"/>
          <w:szCs w:val="28"/>
          <w:lang w:val="uk-UA"/>
        </w:rPr>
        <w:t>Новодністровськ</w:t>
      </w:r>
      <w:proofErr w:type="spellEnd"/>
      <w:r w:rsidRPr="00BA4D64">
        <w:rPr>
          <w:rFonts w:ascii="Times New Roman" w:hAnsi="Times New Roman" w:cs="Times New Roman"/>
          <w:sz w:val="28"/>
          <w:szCs w:val="28"/>
          <w:lang w:val="uk-UA"/>
        </w:rPr>
        <w:t>", на загальну суму близько 8 млн грн).</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У 2021 році за рахунок коштів ДФРР було передбачено фінансування на розвиток 3-х індустріальних парків ("</w:t>
      </w:r>
      <w:proofErr w:type="spellStart"/>
      <w:r w:rsidRPr="00BA4D64">
        <w:rPr>
          <w:rFonts w:ascii="Times New Roman" w:hAnsi="Times New Roman" w:cs="Times New Roman"/>
          <w:sz w:val="28"/>
          <w:szCs w:val="28"/>
          <w:lang w:val="uk-UA"/>
        </w:rPr>
        <w:t>АзовАкваІнвест</w:t>
      </w:r>
      <w:proofErr w:type="spellEnd"/>
      <w:r w:rsidRPr="00BA4D64">
        <w:rPr>
          <w:rFonts w:ascii="Times New Roman" w:hAnsi="Times New Roman" w:cs="Times New Roman"/>
          <w:sz w:val="28"/>
          <w:szCs w:val="28"/>
          <w:lang w:val="uk-UA"/>
        </w:rPr>
        <w:t>", "Житомир-Схід" та Кам'янка-Бузький індустріальний парк), загалом у сумі понад 62,3 млн грн.</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Низький рівень фінансування проектів регіонального розвитку, пов’язаних зі створенням інфраструктури індустріальних парків, насамперед зумовлений незначною активністю громад та відсутністю відповідних пріоритетів у розвитку регіонів.</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lastRenderedPageBreak/>
        <w:t>Крім того, за рахунок бюджетних коштів можуть фінансуватися проекти регіонального розвитку, які мають опосередкований позитивний вплив на створення та функціонування індустріальних парків, забезпечують належну підготовку ініціатив щодо створення індустріальних парків.</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 xml:space="preserve">Наприклад, у 2021 році було відібрано та профінансовано проект будівництва автомобільної дороги комунальної власності між автомобільною дорогою М-07 Київ – Чоп та вул. Польова в с. </w:t>
      </w:r>
      <w:proofErr w:type="spellStart"/>
      <w:r w:rsidRPr="00BA4D64">
        <w:rPr>
          <w:rFonts w:ascii="Times New Roman" w:hAnsi="Times New Roman" w:cs="Times New Roman"/>
          <w:sz w:val="28"/>
          <w:szCs w:val="28"/>
          <w:lang w:val="uk-UA"/>
        </w:rPr>
        <w:t>Мироцьке</w:t>
      </w:r>
      <w:proofErr w:type="spellEnd"/>
      <w:r w:rsidRPr="00BA4D64">
        <w:rPr>
          <w:rFonts w:ascii="Times New Roman" w:hAnsi="Times New Roman" w:cs="Times New Roman"/>
          <w:sz w:val="28"/>
          <w:szCs w:val="28"/>
          <w:lang w:val="uk-UA"/>
        </w:rPr>
        <w:t>, яка пролягає біля індустріального парку "</w:t>
      </w:r>
      <w:proofErr w:type="spellStart"/>
      <w:r w:rsidRPr="00BA4D64">
        <w:rPr>
          <w:rFonts w:ascii="Times New Roman" w:hAnsi="Times New Roman" w:cs="Times New Roman"/>
          <w:sz w:val="28"/>
          <w:szCs w:val="28"/>
          <w:lang w:val="uk-UA"/>
        </w:rPr>
        <w:t>Мироцьке</w:t>
      </w:r>
      <w:proofErr w:type="spellEnd"/>
      <w:r w:rsidRPr="00BA4D64">
        <w:rPr>
          <w:rFonts w:ascii="Times New Roman" w:hAnsi="Times New Roman" w:cs="Times New Roman"/>
          <w:sz w:val="28"/>
          <w:szCs w:val="28"/>
          <w:lang w:val="uk-UA"/>
        </w:rPr>
        <w:t xml:space="preserve">" у </w:t>
      </w:r>
      <w:proofErr w:type="spellStart"/>
      <w:r w:rsidRPr="00BA4D64">
        <w:rPr>
          <w:rFonts w:ascii="Times New Roman" w:hAnsi="Times New Roman" w:cs="Times New Roman"/>
          <w:sz w:val="28"/>
          <w:szCs w:val="28"/>
          <w:lang w:val="uk-UA"/>
        </w:rPr>
        <w:t>Бучанській</w:t>
      </w:r>
      <w:proofErr w:type="spellEnd"/>
      <w:r w:rsidRPr="00BA4D64">
        <w:rPr>
          <w:rFonts w:ascii="Times New Roman" w:hAnsi="Times New Roman" w:cs="Times New Roman"/>
          <w:sz w:val="28"/>
          <w:szCs w:val="28"/>
          <w:lang w:val="uk-UA"/>
        </w:rPr>
        <w:t xml:space="preserve"> міській об'єднаній територіальній громаді </w:t>
      </w:r>
      <w:proofErr w:type="spellStart"/>
      <w:r w:rsidRPr="00BA4D64">
        <w:rPr>
          <w:rFonts w:ascii="Times New Roman" w:hAnsi="Times New Roman" w:cs="Times New Roman"/>
          <w:sz w:val="28"/>
          <w:szCs w:val="28"/>
          <w:lang w:val="uk-UA"/>
        </w:rPr>
        <w:t>Бучанського</w:t>
      </w:r>
      <w:proofErr w:type="spellEnd"/>
      <w:r w:rsidRPr="00BA4D64">
        <w:rPr>
          <w:rFonts w:ascii="Times New Roman" w:hAnsi="Times New Roman" w:cs="Times New Roman"/>
          <w:sz w:val="28"/>
          <w:szCs w:val="28"/>
          <w:lang w:val="uk-UA"/>
        </w:rPr>
        <w:t xml:space="preserve"> району Київської області.</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Водночас у рамках бюджетної програми "Підтримка регіональної політики України" у 2021 році здійснювалося фінансування проекту регіонального розвитку "Мережа індустріальних парків "Західний індустріальний кластер" на території Житомирської, Тернопільської та Рівненської областей.</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Разом із цим, органам місцевого самоврядування відповідно до норм Податкового кодексу України надані повноваження щодо встановлення ставок та пільг із сплати місцевих податків і зборів, включаючи податок на нерухоме майно, відмінне від земельної ділянки, плату за землю, оренду землі. Водночас надання таких пільг може містити ознаки державної допомоги.</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Законом України "Про державну допомогу суб'єктам господарювання" в цілому врегульовано питання формування та реалізації програм державної допомоги відповідно до визначених Урядом критеріїв її допустимості.</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Такі програми дають можливість пропонувати суб'єктам господарювання, які будуть реалізувати інвестиційні проекти, що узгоджуються з довгостроковими пріоритетами розвитку громад, конкретний перелік форм і обсяг державної допомоги за рахунок місцевого бюджету впродовж визначеного періоду.</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Водночас на початок 2022 року не сформовано і не погоджено з Антимонопольним комітетом жодної програми державної допомоги ініціаторам створення-суб'єктам господарювання, керуючим компаніям і учасникам індустріальних парків за рахунок місцевих бюджетів.</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Така ситуація призводить до того, що попри передбачені законодавчі можливості і задекларовані наміри щодо підтримки індустріальних парків з боку місцевих громад, вони фактично не мають механізмів їх практичної реалізації або реалізуються таким чином, що можуть спричинити негативні наслідки для відповідних суб'єктів господарювання в майбутньому.</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 xml:space="preserve">Разом із цим, зростає важливість такого фактору, як наявний і майбутній рівень пропозиції доступної кваліфікованої робочої сили, через поступове </w:t>
      </w:r>
      <w:r w:rsidRPr="00BA4D64">
        <w:rPr>
          <w:rFonts w:ascii="Times New Roman" w:hAnsi="Times New Roman" w:cs="Times New Roman"/>
          <w:sz w:val="28"/>
          <w:szCs w:val="28"/>
          <w:lang w:val="uk-UA"/>
        </w:rPr>
        <w:lastRenderedPageBreak/>
        <w:t>скорочення такої пропозиції. Цей фактор може стати визначальним у питанні перспектив функціонування та розвитку вже створених індустріальних парків і тих, які тільки передбачається створити.</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Таким чином більші перспективи в розвитку індустріальних парків об'єктивно отримують так звані регіональні полюси економічного зростання – території, що характеризуються значно кращими демографічними, соціально-економічними показниками розвитку порівняно з іншими подібними територіями регіону.</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Проблемним є питання забезпечення з боку Мінекономіки належного забезпечення доступу до інформації про створені індустріальні парки, оскільки часто ініціатори створення порушують вимоги частини другої статті 14 Закону та не подають до зазначеного органу копію рішення про створення індустріального парку та концепцію індустріального парку.</w:t>
      </w:r>
    </w:p>
    <w:p w:rsidR="00BA4D64" w:rsidRPr="00BA4D64" w:rsidRDefault="00BA4D64" w:rsidP="00BA4D64">
      <w:pPr>
        <w:spacing w:after="0"/>
        <w:ind w:firstLine="567"/>
        <w:jc w:val="both"/>
        <w:rPr>
          <w:rFonts w:ascii="Times New Roman" w:hAnsi="Times New Roman" w:cs="Times New Roman"/>
          <w:sz w:val="28"/>
          <w:szCs w:val="28"/>
          <w:lang w:val="uk-UA"/>
        </w:rPr>
      </w:pPr>
      <w:r w:rsidRPr="00BA4D64">
        <w:rPr>
          <w:rFonts w:ascii="Times New Roman" w:hAnsi="Times New Roman" w:cs="Times New Roman"/>
          <w:sz w:val="28"/>
          <w:szCs w:val="28"/>
          <w:lang w:val="uk-UA"/>
        </w:rPr>
        <w:t>Крім того, відсутні механізми забезпечення дотримання створеними в Україні індустріальними парками, не включеними до Реєстру, основних ознак і умов їх створення та функціонування, які визначені Законом. Така ситуація може бути фактором негативного впливу на розуміння і сприйняття індустріальних парків в Україні у вітчизняному та іноземному бізнес-середовищі.</w:t>
      </w:r>
    </w:p>
    <w:p w:rsidR="00BA4D64" w:rsidRPr="006C4E5C" w:rsidRDefault="00BA4D64" w:rsidP="00770F2D">
      <w:pPr>
        <w:spacing w:after="0"/>
        <w:ind w:firstLine="567"/>
        <w:jc w:val="both"/>
        <w:rPr>
          <w:rFonts w:ascii="Times New Roman" w:hAnsi="Times New Roman" w:cs="Times New Roman"/>
          <w:sz w:val="28"/>
          <w:szCs w:val="28"/>
          <w:lang w:val="uk-UA"/>
        </w:rPr>
      </w:pPr>
    </w:p>
    <w:sectPr w:rsidR="00BA4D64" w:rsidRPr="006C4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8637B"/>
    <w:multiLevelType w:val="hybridMultilevel"/>
    <w:tmpl w:val="465A40A0"/>
    <w:lvl w:ilvl="0" w:tplc="54C4356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FE"/>
    <w:rsid w:val="00256CE1"/>
    <w:rsid w:val="002A236C"/>
    <w:rsid w:val="0036643D"/>
    <w:rsid w:val="003D0A50"/>
    <w:rsid w:val="00450CD8"/>
    <w:rsid w:val="00495219"/>
    <w:rsid w:val="0058402C"/>
    <w:rsid w:val="005A0E93"/>
    <w:rsid w:val="006C4E5C"/>
    <w:rsid w:val="006E55F9"/>
    <w:rsid w:val="00770F2D"/>
    <w:rsid w:val="007A615E"/>
    <w:rsid w:val="008839E3"/>
    <w:rsid w:val="00A35988"/>
    <w:rsid w:val="00BA4D64"/>
    <w:rsid w:val="00C906FE"/>
    <w:rsid w:val="00D53933"/>
    <w:rsid w:val="00D95A8C"/>
    <w:rsid w:val="00FC2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9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5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5988"/>
    <w:rPr>
      <w:rFonts w:ascii="Tahoma" w:hAnsi="Tahoma" w:cs="Tahoma"/>
      <w:sz w:val="16"/>
      <w:szCs w:val="16"/>
    </w:rPr>
  </w:style>
  <w:style w:type="paragraph" w:styleId="a5">
    <w:name w:val="List Paragraph"/>
    <w:basedOn w:val="a"/>
    <w:uiPriority w:val="34"/>
    <w:qFormat/>
    <w:rsid w:val="00BA4D64"/>
    <w:pPr>
      <w:spacing w:after="0"/>
      <w:ind w:leftChars="-1" w:left="720" w:hanging="1"/>
      <w:contextualSpacing/>
    </w:pPr>
    <w:rPr>
      <w:rFonts w:ascii="Arial" w:eastAsia="Times New Roman" w:hAnsi="Arial" w:cs="Arial"/>
      <w:position w:val="-1"/>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9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5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5988"/>
    <w:rPr>
      <w:rFonts w:ascii="Tahoma" w:hAnsi="Tahoma" w:cs="Tahoma"/>
      <w:sz w:val="16"/>
      <w:szCs w:val="16"/>
    </w:rPr>
  </w:style>
  <w:style w:type="paragraph" w:styleId="a5">
    <w:name w:val="List Paragraph"/>
    <w:basedOn w:val="a"/>
    <w:uiPriority w:val="34"/>
    <w:qFormat/>
    <w:rsid w:val="00BA4D64"/>
    <w:pPr>
      <w:spacing w:after="0"/>
      <w:ind w:leftChars="-1" w:left="720" w:hanging="1"/>
      <w:contextualSpacing/>
    </w:pPr>
    <w:rPr>
      <w:rFonts w:ascii="Arial" w:eastAsia="Times New Roman" w:hAnsi="Arial" w:cs="Arial"/>
      <w:position w:val="-1"/>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Irina\Desktop\&#1053;&#1086;&#1074;&#1080;&#1081;%20&#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7.0249222319432314E-2"/>
          <c:y val="7.2952418885928932E-2"/>
          <c:w val="0.85775444736074657"/>
          <c:h val="0.77146756546092976"/>
        </c:manualLayout>
      </c:layout>
      <c:barChart>
        <c:barDir val="col"/>
        <c:grouping val="clustered"/>
        <c:varyColors val="0"/>
        <c:ser>
          <c:idx val="0"/>
          <c:order val="0"/>
          <c:tx>
            <c:strRef>
              <c:f>Аркуш1!$B$1</c:f>
              <c:strCache>
                <c:ptCount val="1"/>
                <c:pt idx="0">
                  <c:v>Ряд 1</c:v>
                </c:pt>
              </c:strCache>
            </c:strRef>
          </c:tx>
          <c:invertIfNegative val="0"/>
          <c:dLbls>
            <c:dLbl>
              <c:idx val="5"/>
              <c:tx>
                <c:rich>
                  <a:bodyPr/>
                  <a:lstStyle/>
                  <a:p>
                    <a:r>
                      <a:rPr lang="en-US" b="1" baseline="0" dirty="0" smtClean="0">
                        <a:solidFill>
                          <a:srgbClr val="FF0000"/>
                        </a:solidFill>
                        <a:latin typeface="Ermilov" pitchFamily="50" charset="-52"/>
                      </a:rPr>
                      <a:t>6</a:t>
                    </a:r>
                    <a:endParaRPr lang="en-US" baseline="0" dirty="0">
                      <a:solidFill>
                        <a:schemeClr val="accent3">
                          <a:lumMod val="40000"/>
                          <a:lumOff val="60000"/>
                        </a:schemeClr>
                      </a:solidFill>
                    </a:endParaRPr>
                  </a:p>
                </c:rich>
              </c:tx>
              <c:dLblPos val="outEnd"/>
              <c:showLegendKey val="0"/>
              <c:showVal val="0"/>
              <c:showCatName val="0"/>
              <c:showSerName val="0"/>
              <c:showPercent val="0"/>
              <c:showBubbleSize val="0"/>
            </c:dLbl>
            <c:txPr>
              <a:bodyPr/>
              <a:lstStyle/>
              <a:p>
                <a:pPr>
                  <a:defRPr b="1">
                    <a:solidFill>
                      <a:srgbClr val="FF0000"/>
                    </a:solidFill>
                    <a:latin typeface="Ermilov" pitchFamily="50" charset="-52"/>
                  </a:defRPr>
                </a:pPr>
                <a:endParaRPr lang="ru-RU"/>
              </a:p>
            </c:txPr>
            <c:dLblPos val="outEnd"/>
            <c:showLegendKey val="0"/>
            <c:showVal val="1"/>
            <c:showCatName val="0"/>
            <c:showSerName val="0"/>
            <c:showPercent val="0"/>
            <c:showBubbleSize val="0"/>
            <c:showLeaderLines val="0"/>
          </c:dLbls>
          <c:cat>
            <c:numRef>
              <c:f>Аркуш1!$A$2:$A$8</c:f>
              <c:numCache>
                <c:formatCode>General</c:formatCode>
                <c:ptCount val="7"/>
                <c:pt idx="0">
                  <c:v>2014</c:v>
                </c:pt>
                <c:pt idx="1">
                  <c:v>2015</c:v>
                </c:pt>
                <c:pt idx="2">
                  <c:v>2016</c:v>
                </c:pt>
                <c:pt idx="3">
                  <c:v>2017</c:v>
                </c:pt>
                <c:pt idx="4">
                  <c:v>2018</c:v>
                </c:pt>
                <c:pt idx="5">
                  <c:v>2019</c:v>
                </c:pt>
                <c:pt idx="6">
                  <c:v>2020</c:v>
                </c:pt>
              </c:numCache>
            </c:numRef>
          </c:cat>
          <c:val>
            <c:numRef>
              <c:f>Аркуш1!$B$2:$B$8</c:f>
              <c:numCache>
                <c:formatCode>General</c:formatCode>
                <c:ptCount val="7"/>
                <c:pt idx="0">
                  <c:v>12</c:v>
                </c:pt>
                <c:pt idx="1">
                  <c:v>0</c:v>
                </c:pt>
                <c:pt idx="2">
                  <c:v>3</c:v>
                </c:pt>
                <c:pt idx="3">
                  <c:v>13</c:v>
                </c:pt>
                <c:pt idx="4">
                  <c:v>9</c:v>
                </c:pt>
                <c:pt idx="5">
                  <c:v>6</c:v>
                </c:pt>
                <c:pt idx="6">
                  <c:v>1</c:v>
                </c:pt>
              </c:numCache>
            </c:numRef>
          </c:val>
        </c:ser>
        <c:dLbls>
          <c:showLegendKey val="0"/>
          <c:showVal val="0"/>
          <c:showCatName val="0"/>
          <c:showSerName val="0"/>
          <c:showPercent val="0"/>
          <c:showBubbleSize val="0"/>
        </c:dLbls>
        <c:gapWidth val="219"/>
        <c:overlap val="-27"/>
        <c:axId val="284030464"/>
        <c:axId val="37156480"/>
      </c:barChart>
      <c:catAx>
        <c:axId val="284030464"/>
        <c:scaling>
          <c:orientation val="minMax"/>
        </c:scaling>
        <c:delete val="0"/>
        <c:axPos val="b"/>
        <c:numFmt formatCode="General" sourceLinked="1"/>
        <c:majorTickMark val="none"/>
        <c:minorTickMark val="none"/>
        <c:tickLblPos val="nextTo"/>
        <c:txPr>
          <a:bodyPr rot="-60000000" vert="horz"/>
          <a:lstStyle/>
          <a:p>
            <a:pPr>
              <a:defRPr sz="1000" cap="small" baseline="0"/>
            </a:pPr>
            <a:endParaRPr lang="ru-RU"/>
          </a:p>
        </c:txPr>
        <c:crossAx val="37156480"/>
        <c:crosses val="autoZero"/>
        <c:auto val="1"/>
        <c:lblAlgn val="ctr"/>
        <c:lblOffset val="100"/>
        <c:noMultiLvlLbl val="0"/>
      </c:catAx>
      <c:valAx>
        <c:axId val="37156480"/>
        <c:scaling>
          <c:orientation val="minMax"/>
        </c:scaling>
        <c:delete val="1"/>
        <c:axPos val="l"/>
        <c:numFmt formatCode="General" sourceLinked="1"/>
        <c:majorTickMark val="out"/>
        <c:minorTickMark val="none"/>
        <c:tickLblPos val="none"/>
        <c:crossAx val="284030464"/>
        <c:crosses val="autoZero"/>
        <c:crossBetween val="between"/>
      </c:valAx>
    </c:plotArea>
    <c:plotVisOnly val="1"/>
    <c:dispBlanksAs val="gap"/>
    <c:showDLblsOverMax val="0"/>
  </c:chart>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txPr>
              <a:bodyPr/>
              <a:lstStyle/>
              <a:p>
                <a:pPr>
                  <a:defRPr>
                    <a:solidFill>
                      <a:srgbClr val="C00000"/>
                    </a:solidFill>
                    <a:latin typeface="Ermilov" pitchFamily="50" charset="-52"/>
                  </a:defRPr>
                </a:pPr>
                <a:endParaRPr lang="ru-RU"/>
              </a:p>
            </c:txPr>
            <c:showLegendKey val="0"/>
            <c:showVal val="1"/>
            <c:showCatName val="0"/>
            <c:showSerName val="0"/>
            <c:showPercent val="0"/>
            <c:showBubbleSize val="0"/>
            <c:showLeaderLines val="0"/>
          </c:dLbls>
          <c:cat>
            <c:strRef>
              <c:f>Лист1!$C$6:$C$30</c:f>
              <c:strCache>
                <c:ptCount val="25"/>
                <c:pt idx="0">
                  <c:v>Вінницька </c:v>
                </c:pt>
                <c:pt idx="1">
                  <c:v>Волинська </c:v>
                </c:pt>
                <c:pt idx="2">
                  <c:v>Дніпропетровська</c:v>
                </c:pt>
                <c:pt idx="3">
                  <c:v>Донецька</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c:v>
                </c:pt>
                <c:pt idx="12">
                  <c:v>Миколаївська </c:v>
                </c:pt>
                <c:pt idx="13">
                  <c:v>Одеська</c:v>
                </c:pt>
                <c:pt idx="14">
                  <c:v>Полтавська</c:v>
                </c:pt>
                <c:pt idx="15">
                  <c:v>Рівненська</c:v>
                </c:pt>
                <c:pt idx="16">
                  <c:v>Сумська</c:v>
                </c:pt>
                <c:pt idx="17">
                  <c:v>Тернопільська</c:v>
                </c:pt>
                <c:pt idx="18">
                  <c:v>Харківська</c:v>
                </c:pt>
                <c:pt idx="19">
                  <c:v>Херсонська</c:v>
                </c:pt>
                <c:pt idx="20">
                  <c:v>Хмельницька</c:v>
                </c:pt>
                <c:pt idx="21">
                  <c:v>Черкаська</c:v>
                </c:pt>
                <c:pt idx="22">
                  <c:v>Чернівецька</c:v>
                </c:pt>
                <c:pt idx="23">
                  <c:v>Чернігівська</c:v>
                </c:pt>
                <c:pt idx="24">
                  <c:v>м. Київ</c:v>
                </c:pt>
              </c:strCache>
            </c:strRef>
          </c:cat>
          <c:val>
            <c:numRef>
              <c:f>Лист1!$D$6:$D$30</c:f>
              <c:numCache>
                <c:formatCode>General</c:formatCode>
                <c:ptCount val="25"/>
                <c:pt idx="0">
                  <c:v>3</c:v>
                </c:pt>
                <c:pt idx="1">
                  <c:v>1</c:v>
                </c:pt>
                <c:pt idx="2">
                  <c:v>3</c:v>
                </c:pt>
                <c:pt idx="3">
                  <c:v>3</c:v>
                </c:pt>
                <c:pt idx="4">
                  <c:v>2</c:v>
                </c:pt>
                <c:pt idx="5">
                  <c:v>1</c:v>
                </c:pt>
                <c:pt idx="6">
                  <c:v>0</c:v>
                </c:pt>
                <c:pt idx="7">
                  <c:v>1</c:v>
                </c:pt>
                <c:pt idx="8">
                  <c:v>7</c:v>
                </c:pt>
                <c:pt idx="9">
                  <c:v>1</c:v>
                </c:pt>
                <c:pt idx="10">
                  <c:v>0</c:v>
                </c:pt>
                <c:pt idx="11">
                  <c:v>7</c:v>
                </c:pt>
                <c:pt idx="12">
                  <c:v>1</c:v>
                </c:pt>
                <c:pt idx="13">
                  <c:v>2</c:v>
                </c:pt>
                <c:pt idx="14">
                  <c:v>1</c:v>
                </c:pt>
                <c:pt idx="15">
                  <c:v>0</c:v>
                </c:pt>
                <c:pt idx="16">
                  <c:v>3</c:v>
                </c:pt>
                <c:pt idx="17">
                  <c:v>2</c:v>
                </c:pt>
                <c:pt idx="18">
                  <c:v>0</c:v>
                </c:pt>
                <c:pt idx="19">
                  <c:v>0</c:v>
                </c:pt>
                <c:pt idx="20">
                  <c:v>2</c:v>
                </c:pt>
                <c:pt idx="21">
                  <c:v>1</c:v>
                </c:pt>
                <c:pt idx="22">
                  <c:v>1</c:v>
                </c:pt>
                <c:pt idx="23">
                  <c:v>0</c:v>
                </c:pt>
                <c:pt idx="24">
                  <c:v>1</c:v>
                </c:pt>
              </c:numCache>
            </c:numRef>
          </c:val>
        </c:ser>
        <c:dLbls>
          <c:showLegendKey val="0"/>
          <c:showVal val="1"/>
          <c:showCatName val="0"/>
          <c:showSerName val="0"/>
          <c:showPercent val="0"/>
          <c:showBubbleSize val="0"/>
        </c:dLbls>
        <c:gapWidth val="75"/>
        <c:axId val="274324480"/>
        <c:axId val="37154176"/>
      </c:barChart>
      <c:catAx>
        <c:axId val="274324480"/>
        <c:scaling>
          <c:orientation val="minMax"/>
        </c:scaling>
        <c:delete val="0"/>
        <c:axPos val="b"/>
        <c:majorTickMark val="none"/>
        <c:minorTickMark val="none"/>
        <c:tickLblPos val="nextTo"/>
        <c:txPr>
          <a:bodyPr/>
          <a:lstStyle/>
          <a:p>
            <a:pPr>
              <a:defRPr sz="800">
                <a:solidFill>
                  <a:sysClr val="windowText" lastClr="000000"/>
                </a:solidFill>
              </a:defRPr>
            </a:pPr>
            <a:endParaRPr lang="ru-RU"/>
          </a:p>
        </c:txPr>
        <c:crossAx val="37154176"/>
        <c:crosses val="autoZero"/>
        <c:auto val="1"/>
        <c:lblAlgn val="ctr"/>
        <c:lblOffset val="100"/>
        <c:noMultiLvlLbl val="0"/>
      </c:catAx>
      <c:valAx>
        <c:axId val="37154176"/>
        <c:scaling>
          <c:orientation val="minMax"/>
        </c:scaling>
        <c:delete val="1"/>
        <c:axPos val="l"/>
        <c:numFmt formatCode="General" sourceLinked="1"/>
        <c:majorTickMark val="none"/>
        <c:minorTickMark val="none"/>
        <c:tickLblPos val="none"/>
        <c:crossAx val="2743244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2924</Words>
  <Characters>16670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6</cp:revision>
  <dcterms:created xsi:type="dcterms:W3CDTF">2022-09-02T13:05:00Z</dcterms:created>
  <dcterms:modified xsi:type="dcterms:W3CDTF">2022-09-27T09:45:00Z</dcterms:modified>
</cp:coreProperties>
</file>