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05" w:rsidRDefault="00F77905" w:rsidP="00F77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6. </w:t>
      </w:r>
    </w:p>
    <w:p w:rsidR="00585EBA" w:rsidRDefault="00F77905" w:rsidP="00F77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F77905"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ференціальна діагностика дизартрії</w:t>
      </w:r>
    </w:p>
    <w:p w:rsidR="008D2DA5" w:rsidRDefault="00F77905" w:rsidP="008D2D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D2DA5" w:rsidRPr="0022196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Дизартрія</w:t>
      </w:r>
      <w:r w:rsidR="008D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2DA5"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розлад </w:t>
      </w:r>
      <w:r w:rsidR="008D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вимовної</w:t>
      </w:r>
      <w:r w:rsidR="008D2DA5"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організації мовлення, пов’язане з ураженням центрального відділу </w:t>
      </w:r>
      <w:r w:rsidR="008D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мовленнєво-рухового</w:t>
      </w:r>
      <w:r w:rsidR="008D2DA5"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аналізатора і порушенням іннервації м’язів артикуляційного апарату.</w:t>
      </w:r>
      <w:r w:rsidR="008D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D2DA5"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Структура дефекту при дизартрії включає порушення мовної моторики, звуковимови, мовного дихання, голосу і просодич</w:t>
      </w:r>
      <w:r w:rsidR="008D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ної</w:t>
      </w:r>
      <w:r w:rsidR="008D2DA5"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сторони мови</w:t>
      </w:r>
      <w:r w:rsidR="008D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D2DA5" w:rsidRDefault="008D2DA5" w:rsidP="008D2D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8D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тяжке порушення мови, що супроводжується розладом артикуляції, фонації, мовного дихання, </w:t>
      </w:r>
      <w:proofErr w:type="spellStart"/>
      <w:r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темпо-ритмічної</w:t>
      </w:r>
      <w:proofErr w:type="spellEnd"/>
      <w:r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організації та інтонаційно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</w:t>
      </w:r>
      <w:r w:rsidRPr="0022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забарвлення мови, в результаті чого мова втрачає свою членороздільність і виразність.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D2DA5" w:rsidRPr="008D2DA5" w:rsidRDefault="00F23676" w:rsidP="008D2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2DA5" w:rsidRPr="008D2DA5">
        <w:rPr>
          <w:rFonts w:ascii="Times New Roman" w:hAnsi="Times New Roman" w:cs="Times New Roman"/>
          <w:sz w:val="28"/>
          <w:szCs w:val="28"/>
          <w:lang w:val="uk-UA"/>
        </w:rPr>
        <w:t>Виділення клінічних форм дизартрії у дітей є складним і умовним, так як у них рідко бувають локальні ураження мозку, з якими пов’язані чітко визначені синдроми, що дозволяють віднести дизартр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2DA5" w:rsidRPr="008D2DA5">
        <w:rPr>
          <w:rFonts w:ascii="Times New Roman" w:hAnsi="Times New Roman" w:cs="Times New Roman"/>
          <w:sz w:val="28"/>
          <w:szCs w:val="28"/>
          <w:lang w:val="uk-UA"/>
        </w:rPr>
        <w:t>ю до тієї або іншій формі.</w:t>
      </w:r>
    </w:p>
    <w:p w:rsidR="008D2DA5" w:rsidRPr="008D2DA5" w:rsidRDefault="00F23676" w:rsidP="008D2D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2DA5" w:rsidRPr="008D2DA5">
        <w:rPr>
          <w:rFonts w:ascii="Times New Roman" w:hAnsi="Times New Roman" w:cs="Times New Roman"/>
          <w:sz w:val="28"/>
          <w:szCs w:val="28"/>
          <w:lang w:val="uk-UA"/>
        </w:rPr>
        <w:t xml:space="preserve">Органічні ураження мозку у дітей передує розвитку мовлення, тому спотворюється хід онтогенезу всієї мовленнєвої діяльності. У дорослих дизартрія викликана локальними ураженнями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мозку, у дітей ці порушення диф</w:t>
      </w:r>
      <w:r w:rsidR="008D2DA5" w:rsidRPr="008D2DA5">
        <w:rPr>
          <w:rFonts w:ascii="Times New Roman" w:hAnsi="Times New Roman" w:cs="Times New Roman"/>
          <w:sz w:val="28"/>
          <w:szCs w:val="28"/>
          <w:lang w:val="uk-UA"/>
        </w:rPr>
        <w:t>узн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D2DA5" w:rsidRPr="008D2DA5">
        <w:rPr>
          <w:rFonts w:ascii="Times New Roman" w:hAnsi="Times New Roman" w:cs="Times New Roman"/>
          <w:sz w:val="28"/>
          <w:szCs w:val="28"/>
          <w:lang w:val="uk-UA"/>
        </w:rPr>
        <w:t xml:space="preserve"> і розмиті, без чітко вираженого вогнища ураження. Класифікація дизартрій у дітей складна у зв’язку зі змішаною симптоматикою і клінічною картиною. З іншого боку розвивається мозок, його пластичність, пристосовність забезпечують певну компенсацію.</w:t>
      </w:r>
    </w:p>
    <w:p w:rsidR="00F23676" w:rsidRPr="00F23676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t>Робляться спроби класифікувати дизартрії у дітей на основі локалізації ураження ЦНС. Тим не менш виділені форми мають своєрідне прояви порівняно з дизартр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t>ями дорослих.</w:t>
      </w:r>
    </w:p>
    <w:p w:rsidR="00F23676" w:rsidRPr="00F23676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У дитячій практиці не виділяють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бульбарн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дизартр</w:t>
      </w:r>
      <w:r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, тому що порушення довгастого мозку не сумісні з життям.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Бульбарна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дизартрія у дітей виділяється як набута внаслідок захворювань вуха або інфекційних захворювань, що призводять до ураження периферичних нервів (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паратит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або скарлатина). Такі прояви дизартрії не пов’язані з ураженням власне довгастого мозку і відрізняються за проявами від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бульбарної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дизартрії.</w:t>
      </w:r>
    </w:p>
    <w:p w:rsidR="00F23676" w:rsidRPr="00F23676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Дитяча форма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псевдобульбарного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паралічу зустрічається особливо часто, як залишковий синдром раннього ураження мозку. Дитяча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псевдобульбарная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дизартрія має складний патогенез: можуть спостерігатися і центральні спастичні паралічі, і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екстрапірамідні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м’язового тонусу, різні гіперкінези (автоматичні насильницькі рухи в наслідок мимовільного скорочення м’язів), різні рухові порушення. Прийнято вважати, що дитяча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псевдобульбарная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дизартрія пов’язана з вогнищами </w:t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поразки в корі головного мозку, а саме в передніх відділах центральної звивини. У дітей з ДЦП найбільш часто зустрічається форма дизартрії.</w:t>
      </w:r>
    </w:p>
    <w:p w:rsidR="00F23676" w:rsidRPr="00F23676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Багато авторів (Волкова Л. С., Семенова К. А.,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Мастюкова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Е. М.) виділяють спастичну і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паретичну</w:t>
      </w:r>
      <w:proofErr w:type="spellEnd"/>
      <w:r w:rsidRPr="00F23676">
        <w:rPr>
          <w:rFonts w:ascii="Times New Roman" w:hAnsi="Times New Roman" w:cs="Times New Roman"/>
          <w:sz w:val="28"/>
          <w:szCs w:val="28"/>
          <w:lang w:val="uk-UA"/>
        </w:rPr>
        <w:t xml:space="preserve"> форми дитячої </w:t>
      </w:r>
      <w:proofErr w:type="spellStart"/>
      <w:r w:rsidRPr="00F23676">
        <w:rPr>
          <w:rFonts w:ascii="Times New Roman" w:hAnsi="Times New Roman" w:cs="Times New Roman"/>
          <w:sz w:val="28"/>
          <w:szCs w:val="28"/>
          <w:lang w:val="uk-UA"/>
        </w:rPr>
        <w:t>псевдобульбарно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3676">
        <w:rPr>
          <w:rFonts w:ascii="Times New Roman" w:hAnsi="Times New Roman" w:cs="Times New Roman"/>
          <w:sz w:val="28"/>
          <w:szCs w:val="28"/>
          <w:lang w:val="uk-UA"/>
        </w:rPr>
        <w:t>дизартрії. Ці форми дизартрії характерні для дитячої практики і найчастіше зустрічаються у дітей з ДЦП.</w:t>
      </w:r>
    </w:p>
    <w:p w:rsidR="00F23676" w:rsidRPr="00701B69" w:rsidRDefault="00F23676" w:rsidP="00701B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Спастична форма.</w:t>
      </w:r>
    </w:p>
    <w:p w:rsidR="00F23676" w:rsidRPr="00701B69" w:rsidRDefault="00701B69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Відзначається виражена </w:t>
      </w:r>
      <w:proofErr w:type="spellStart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>спстичность</w:t>
      </w:r>
      <w:proofErr w:type="spellEnd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артикуляційної і </w:t>
      </w:r>
      <w:proofErr w:type="spellStart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>фонационой</w:t>
      </w:r>
      <w:proofErr w:type="spellEnd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мускулатури. Рухливість м’язів, внаслідок парезу, різко обмежена. Утруднене довільне розслаблення, спроба руху або рух викликає підвищення м’язового тонусу в м’язах. Особливістю цієї форми дизартрії є наявність </w:t>
      </w:r>
      <w:proofErr w:type="spellStart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>сінкезі</w:t>
      </w:r>
      <w:proofErr w:type="spellEnd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, що продовжується. Найхарактернішою </w:t>
      </w:r>
      <w:proofErr w:type="spellStart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>синкинезией</w:t>
      </w:r>
      <w:proofErr w:type="spellEnd"/>
      <w:r w:rsidR="00F23676"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є рух нижньої щелепи, нижньої губи при спробі підняти кінчик язика вгору. Характерно збереження рефлекторних рухів при відсутності довільних.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Спастична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псевдобульбарная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дизартрія виникає внаслідок двостороннього ураження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кортико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нуклеарних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шляхів.</w:t>
      </w:r>
    </w:p>
    <w:p w:rsidR="00F23676" w:rsidRPr="00701B69" w:rsidRDefault="00F23676" w:rsidP="00F236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Паретична</w:t>
      </w:r>
      <w:proofErr w:type="spellEnd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форма </w:t>
      </w:r>
      <w:proofErr w:type="spellStart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псевдобульбарной</w:t>
      </w:r>
      <w:proofErr w:type="spellEnd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дизартрії.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Відзначається виражений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перез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мовних м’язів зі значною слабкістю і обмеженням рухів, знижений або не різко підвищений м’язовий тонус. Спостерігається переважання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паретичних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компонента над спастичним. Відзначається слабкість в лицьовій і артикуляційній мускулатурі, труднощі в утриманні артикуляційної пози, мова зазвичай млявий, розпластаний. Мова може у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хилятись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в бік більш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паретичн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сторону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. Спостерігається виснаженість рухів. Жування ослаблене.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Паретичність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лицьових м’язів може проявлятися у вигляді амімії (тобто відсутність міміки або її ослаблення).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Відзначається незначне підвищення тонусу в окремих м’язових групах і зниження в інших групах. При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ній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формі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псевдобульбарн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дизартрії страждає вимова губних звуків, </w:t>
      </w:r>
      <w:r w:rsidR="004B6DEB">
        <w:rPr>
          <w:rFonts w:ascii="Times New Roman" w:hAnsi="Times New Roman" w:cs="Times New Roman"/>
          <w:sz w:val="28"/>
          <w:szCs w:val="28"/>
          <w:lang w:val="uk-UA"/>
        </w:rPr>
        <w:t xml:space="preserve">що вимагають м’язових зусиль (П,Б,М), порушені </w:t>
      </w:r>
      <w:proofErr w:type="spellStart"/>
      <w:r w:rsidR="004B6DEB">
        <w:rPr>
          <w:rFonts w:ascii="Times New Roman" w:hAnsi="Times New Roman" w:cs="Times New Roman"/>
          <w:sz w:val="28"/>
          <w:szCs w:val="28"/>
          <w:lang w:val="uk-UA"/>
        </w:rPr>
        <w:t>передньо-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звуки з </w:t>
      </w:r>
      <w:r w:rsidR="004B6DEB">
        <w:rPr>
          <w:rFonts w:ascii="Times New Roman" w:hAnsi="Times New Roman" w:cs="Times New Roman"/>
          <w:sz w:val="28"/>
          <w:szCs w:val="28"/>
          <w:lang w:val="uk-UA"/>
        </w:rPr>
        <w:t>підйомом кінчика язика вгору (Р,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B6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4B6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4B6D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Ч).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Паретичность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і ослаблення рухів м’якого піднебіння приводить до носового відтінку мови. Мова при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ній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формі повільна, афон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ічна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, зазначається слинотеча.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Локалізація ураження при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паретичній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формі імовірно в області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Варолієва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мосту.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  <w:t>Для цієї форми дизартрії характерно уповільнене, напружене вимова, слабка повітряний струмінь, недостатня для вимови навіть губних звуків, зміщення артикуляції передньоязичних в середні і задні відділи. Спастичне звуження кінчика язика може призвести до міжзубної вимові.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Гіперсалівація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характерна для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псевдобульбарно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дизартрії, що пов’язано з обмеженням рухів м’язів мови, порушенням довільного ковтання, парезом губних м’язів. Часто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гіперсалівація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пов’язана зі зниженням чутливості в артикуляційному апараті. Дитина не відчуває випливає слини.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r w:rsidR="004B6D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B6DE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Правдіна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виділяє паралітичну, спастичну,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гіперкінетичним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, змішану та стерту форми дитячого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псевдобульбарного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паралічу.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Паретичн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проявляється у вигляді млявості, зменшення сили рухів, 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виснаженості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. Будь артикуляційна рух здійснюється повільно, часто не доводить до кінця, повторення руху утруднено.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  <w:t>В процесі їжі або інших повсякденних дій дитина може відтворити ті рухи, які неможливі при довільному їх виконання.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Стерті форми дитячої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псевдобульбарно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4B6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дизартрії зустрічаються дуже часто і часто їх плутають з звичайними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дислал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ями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. При відсутності виражених порушень у рухах мови можна відзначити недостатність сили, рухів, неточність, приблизність, повторення рухів викликає швидке стомлення, іноді спостерігається посиніння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утруднення збереження певної пози. Такі незначні порушення артикуляції виявляються тільки при спеціальному дослідженні, але приводять до неточностей звуковимови різних спотворень звуків,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смазаности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стертості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>, мови.</w:t>
      </w:r>
    </w:p>
    <w:p w:rsidR="00F23676" w:rsidRPr="00701B69" w:rsidRDefault="00F23676" w:rsidP="00F236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1B69" w:rsidRPr="00701B69">
        <w:rPr>
          <w:rFonts w:ascii="Times New Roman" w:hAnsi="Times New Roman" w:cs="Times New Roman"/>
          <w:sz w:val="28"/>
          <w:szCs w:val="28"/>
          <w:lang w:val="uk-UA"/>
        </w:rPr>
        <w:t>О. Н.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Винарская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«Вважає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 xml:space="preserve">, що дитяча </w:t>
      </w:r>
      <w:proofErr w:type="spellStart"/>
      <w:r w:rsidR="00701B69">
        <w:rPr>
          <w:rFonts w:ascii="Times New Roman" w:hAnsi="Times New Roman" w:cs="Times New Roman"/>
          <w:sz w:val="28"/>
          <w:szCs w:val="28"/>
          <w:lang w:val="uk-UA"/>
        </w:rPr>
        <w:t>псевдобульбарна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дизартрія більше, ніж у дорослих пов’язана з вогнищами ураження головного мозку, а саме нижньої третини передніх центральних звивин. У багатьох випадках є вогнища ураження лобових часток, підкіркових ядер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кортико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01B69">
        <w:rPr>
          <w:rFonts w:ascii="Times New Roman" w:hAnsi="Times New Roman" w:cs="Times New Roman"/>
          <w:sz w:val="28"/>
          <w:szCs w:val="28"/>
          <w:lang w:val="uk-UA"/>
        </w:rPr>
        <w:t>бульбарних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шляхів різного рівня. Тому найменування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псевдобульбарно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дизартрії недостатньо коректно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патогномонічно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топическом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 відносинах. Виділяються варіанти такої «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псевдобульбарно</w:t>
      </w:r>
      <w:r w:rsidR="00701B6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 xml:space="preserve">» дизартрії – паралітичний, спастичний, </w:t>
      </w:r>
      <w:proofErr w:type="spellStart"/>
      <w:r w:rsidRPr="00701B69">
        <w:rPr>
          <w:rFonts w:ascii="Times New Roman" w:hAnsi="Times New Roman" w:cs="Times New Roman"/>
          <w:sz w:val="28"/>
          <w:szCs w:val="28"/>
          <w:lang w:val="uk-UA"/>
        </w:rPr>
        <w:t>гіперкінетичний</w:t>
      </w:r>
      <w:proofErr w:type="spellEnd"/>
      <w:r w:rsidRPr="00701B69">
        <w:rPr>
          <w:rFonts w:ascii="Times New Roman" w:hAnsi="Times New Roman" w:cs="Times New Roman"/>
          <w:sz w:val="28"/>
          <w:szCs w:val="28"/>
          <w:lang w:val="uk-UA"/>
        </w:rPr>
        <w:t>, рудиментарний – мають лише описовий характер»</w:t>
      </w:r>
    </w:p>
    <w:p w:rsidR="00701B69" w:rsidRPr="00701B69" w:rsidRDefault="00701B69" w:rsidP="00600F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Розмежування </w:t>
      </w:r>
      <w:proofErr w:type="spellStart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арної</w:t>
      </w:r>
      <w:proofErr w:type="spellEnd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дизартрії від </w:t>
      </w:r>
      <w:proofErr w:type="spellStart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паретич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ній</w:t>
      </w:r>
      <w:proofErr w:type="spellEnd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псевдобульбарн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ій</w:t>
      </w:r>
      <w:proofErr w:type="spellEnd"/>
    </w:p>
    <w:p w:rsidR="00F77905" w:rsidRDefault="00701B69" w:rsidP="00600F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1B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проводиться в основному за такими критеріями:</w:t>
      </w:r>
    </w:p>
    <w:tbl>
      <w:tblPr>
        <w:tblStyle w:val="a4"/>
        <w:tblW w:w="0" w:type="auto"/>
        <w:tblLook w:val="04A0"/>
      </w:tblPr>
      <w:tblGrid>
        <w:gridCol w:w="3264"/>
        <w:gridCol w:w="3081"/>
        <w:gridCol w:w="3226"/>
      </w:tblGrid>
      <w:tr w:rsidR="00600FEB" w:rsidTr="00600FEB">
        <w:tc>
          <w:tcPr>
            <w:tcW w:w="3264" w:type="dxa"/>
          </w:tcPr>
          <w:p w:rsidR="00600FEB" w:rsidRPr="00600FEB" w:rsidRDefault="00600FEB" w:rsidP="00EE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00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3081" w:type="dxa"/>
          </w:tcPr>
          <w:p w:rsidR="00600FEB" w:rsidRPr="00600FEB" w:rsidRDefault="00600FEB" w:rsidP="00EE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00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бульбарна</w:t>
            </w:r>
            <w:proofErr w:type="spellEnd"/>
            <w:r w:rsidRPr="00600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дизартрія</w:t>
            </w:r>
          </w:p>
        </w:tc>
        <w:tc>
          <w:tcPr>
            <w:tcW w:w="3226" w:type="dxa"/>
          </w:tcPr>
          <w:p w:rsidR="00600FEB" w:rsidRPr="00600FEB" w:rsidRDefault="00600FEB" w:rsidP="00EE1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00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паретична</w:t>
            </w:r>
            <w:proofErr w:type="spellEnd"/>
            <w:r w:rsidRPr="00600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0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псевдобульбарна</w:t>
            </w:r>
            <w:proofErr w:type="spellEnd"/>
            <w:r w:rsidRPr="00600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дизартрія </w:t>
            </w:r>
          </w:p>
        </w:tc>
      </w:tr>
      <w:tr w:rsidR="00600FEB" w:rsidTr="00600FEB">
        <w:tc>
          <w:tcPr>
            <w:tcW w:w="3264" w:type="dxa"/>
          </w:tcPr>
          <w:p w:rsidR="00600FEB" w:rsidRPr="00671EE2" w:rsidRDefault="00600FEB" w:rsidP="00600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характер парезу або паралічу мовної мускулатури</w:t>
            </w:r>
          </w:p>
        </w:tc>
        <w:tc>
          <w:tcPr>
            <w:tcW w:w="3081" w:type="dxa"/>
          </w:tcPr>
          <w:p w:rsidR="00600FEB" w:rsidRPr="00671EE2" w:rsidRDefault="00600FEB" w:rsidP="00600F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периферійний</w:t>
            </w:r>
          </w:p>
        </w:tc>
        <w:tc>
          <w:tcPr>
            <w:tcW w:w="3226" w:type="dxa"/>
          </w:tcPr>
          <w:p w:rsidR="00600FEB" w:rsidRPr="00671EE2" w:rsidRDefault="00600FEB" w:rsidP="00600F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центральний</w:t>
            </w:r>
          </w:p>
        </w:tc>
      </w:tr>
      <w:tr w:rsidR="00600FEB" w:rsidTr="00600FEB">
        <w:tc>
          <w:tcPr>
            <w:tcW w:w="3264" w:type="dxa"/>
          </w:tcPr>
          <w:p w:rsidR="00600FEB" w:rsidRPr="00671EE2" w:rsidRDefault="00600FEB" w:rsidP="00600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характер порушення мовної моторики</w:t>
            </w:r>
          </w:p>
        </w:tc>
        <w:tc>
          <w:tcPr>
            <w:tcW w:w="3081" w:type="dxa"/>
          </w:tcPr>
          <w:p w:rsidR="00600FEB" w:rsidRPr="00671EE2" w:rsidRDefault="00671EE2" w:rsidP="00600F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порушені довільні і мимовільні рухи</w:t>
            </w:r>
          </w:p>
        </w:tc>
        <w:tc>
          <w:tcPr>
            <w:tcW w:w="3226" w:type="dxa"/>
          </w:tcPr>
          <w:p w:rsidR="00600FEB" w:rsidRPr="00671EE2" w:rsidRDefault="00671EE2" w:rsidP="00600F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переважно довільні</w:t>
            </w:r>
          </w:p>
        </w:tc>
      </w:tr>
      <w:tr w:rsidR="00600FEB" w:rsidTr="00600FEB">
        <w:tc>
          <w:tcPr>
            <w:tcW w:w="3264" w:type="dxa"/>
          </w:tcPr>
          <w:p w:rsidR="00600FEB" w:rsidRPr="00671EE2" w:rsidRDefault="00671EE2" w:rsidP="00600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характер ураження артикуляційної моторики</w:t>
            </w:r>
          </w:p>
        </w:tc>
        <w:tc>
          <w:tcPr>
            <w:tcW w:w="3081" w:type="dxa"/>
          </w:tcPr>
          <w:p w:rsidR="00600FEB" w:rsidRPr="00671EE2" w:rsidRDefault="00671EE2" w:rsidP="00671EE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дифузний, </w:t>
            </w:r>
          </w:p>
        </w:tc>
        <w:tc>
          <w:tcPr>
            <w:tcW w:w="3226" w:type="dxa"/>
          </w:tcPr>
          <w:p w:rsidR="00600FEB" w:rsidRPr="00671EE2" w:rsidRDefault="00671EE2" w:rsidP="00600F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виборчий з порушенням тонких диференційованих артикуляційних рухів</w:t>
            </w:r>
          </w:p>
        </w:tc>
      </w:tr>
      <w:tr w:rsidR="00600FEB" w:rsidTr="00600FEB">
        <w:tc>
          <w:tcPr>
            <w:tcW w:w="3264" w:type="dxa"/>
          </w:tcPr>
          <w:p w:rsidR="00600FEB" w:rsidRPr="00671EE2" w:rsidRDefault="00671EE2" w:rsidP="00600F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671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специфіка</w:t>
            </w:r>
            <w:proofErr w:type="spellEnd"/>
            <w:r w:rsidRPr="00671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71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порушень</w:t>
            </w:r>
            <w:proofErr w:type="spellEnd"/>
            <w:r w:rsidRPr="00671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звуковимови</w:t>
            </w:r>
          </w:p>
        </w:tc>
        <w:tc>
          <w:tcPr>
            <w:tcW w:w="3081" w:type="dxa"/>
          </w:tcPr>
          <w:p w:rsidR="00600FEB" w:rsidRPr="00671EE2" w:rsidRDefault="00671EE2" w:rsidP="00671EE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артикуляція голосних наближається до нейтрального звуку,</w:t>
            </w:r>
          </w:p>
          <w:p w:rsidR="00671EE2" w:rsidRPr="00671EE2" w:rsidRDefault="00671EE2" w:rsidP="00671EE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голосні і дзвінкі приголосні оглушені.</w:t>
            </w:r>
          </w:p>
        </w:tc>
        <w:tc>
          <w:tcPr>
            <w:tcW w:w="3226" w:type="dxa"/>
          </w:tcPr>
          <w:p w:rsidR="00600FEB" w:rsidRPr="00671EE2" w:rsidRDefault="00671EE2" w:rsidP="00671EE2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71E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відсунута назад, поряд з оглушенням приголосних спостерігається їх одзвінчення</w:t>
            </w:r>
          </w:p>
        </w:tc>
      </w:tr>
      <w:tr w:rsidR="00600FEB" w:rsidTr="00600FEB">
        <w:tc>
          <w:tcPr>
            <w:tcW w:w="3264" w:type="dxa"/>
          </w:tcPr>
          <w:p w:rsidR="00600FEB" w:rsidRPr="00600FEB" w:rsidRDefault="00600FEB" w:rsidP="00600F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081" w:type="dxa"/>
          </w:tcPr>
          <w:p w:rsidR="00600FEB" w:rsidRPr="00600FEB" w:rsidRDefault="00600FEB" w:rsidP="00600FE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671EE2" w:rsidRPr="00671EE2" w:rsidRDefault="00671EE2" w:rsidP="00671EE2">
            <w:pPr>
              <w:shd w:val="clear" w:color="auto" w:fill="FFFFFF"/>
              <w:rPr>
                <w:rFonts w:ascii="Arial" w:eastAsia="Times New Roman" w:hAnsi="Arial" w:cs="Arial"/>
                <w:color w:val="5C5C5C"/>
                <w:sz w:val="24"/>
                <w:szCs w:val="24"/>
                <w:lang w:eastAsia="ru-RU"/>
              </w:rPr>
            </w:pPr>
            <w:r w:rsidRPr="00671E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 </w:t>
            </w:r>
            <w:proofErr w:type="spellStart"/>
            <w:r w:rsidRPr="00671E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псевдобульбарн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671E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proofErr w:type="spellEnd"/>
            <w:r w:rsidRPr="00671E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дизартрії навіть при переважанні </w:t>
            </w:r>
            <w:proofErr w:type="spellStart"/>
            <w:r w:rsidRPr="00671E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паретичн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71E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варіанту в окремих м’язових групах відзначаються елементи </w:t>
            </w:r>
            <w:proofErr w:type="spellStart"/>
            <w:r w:rsidRPr="00671E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спастичності</w:t>
            </w:r>
            <w:proofErr w:type="spellEnd"/>
            <w:r w:rsidRPr="00671EE2">
              <w:rPr>
                <w:rFonts w:ascii="Arial" w:eastAsia="Times New Roman" w:hAnsi="Arial" w:cs="Arial"/>
                <w:color w:val="5C5C5C"/>
                <w:sz w:val="24"/>
                <w:szCs w:val="24"/>
                <w:lang w:eastAsia="ru-RU"/>
              </w:rPr>
              <w:t>.</w:t>
            </w:r>
          </w:p>
          <w:p w:rsidR="00600FEB" w:rsidRPr="00671EE2" w:rsidRDefault="00600FEB" w:rsidP="00600F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00FEB" w:rsidRDefault="005736C1" w:rsidP="005736C1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36C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Диференційна діагностика дизартрії</w:t>
      </w:r>
    </w:p>
    <w:p w:rsidR="005736C1" w:rsidRDefault="005736C1" w:rsidP="005736C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736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(проводиться у двох напрямках: відмежування дизартрії від </w:t>
      </w:r>
      <w:proofErr w:type="spellStart"/>
      <w:r w:rsidRPr="005736C1">
        <w:rPr>
          <w:rFonts w:ascii="Times New Roman" w:hAnsi="Times New Roman" w:cs="Times New Roman"/>
          <w:i/>
          <w:sz w:val="28"/>
          <w:szCs w:val="28"/>
          <w:lang w:val="uk-UA"/>
        </w:rPr>
        <w:t>дислалії</w:t>
      </w:r>
      <w:proofErr w:type="spellEnd"/>
      <w:r w:rsidRPr="005736C1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A90C1E" w:rsidRPr="00A90C1E" w:rsidRDefault="00A90C1E" w:rsidP="00A90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З метою виявлення мінімальних проявів дизартрії використовують функціональні проби (М. Б.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Ейдінова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, О. М.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Мастюкова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, О. В.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Правдіна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та ін.), у першій з яких дитину просять відкрити рот, висунути язик уперед і утримувати його нерухомо по середній лінії, одночасно слідкуючи очима за предметом, який учитель-логопед переміщує зі сторони в сторону. Результати проби свідчать про дизартрію, коли в момент руху очей спостерігається деяке відхилення язика у сторону переміщуваного предмета.</w:t>
      </w:r>
    </w:p>
    <w:p w:rsidR="00A90C1E" w:rsidRPr="00A90C1E" w:rsidRDefault="00A90C1E" w:rsidP="00A90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Друга функціональна проба передбачає виконання дитиною артикуляційних вправ, під час якого руки вчителя-логопеда знаходяться на шиї дитини.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Дизартричними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проявами є закидання дитиною голови чи напруження шийної мускулатури під час виконання нею найбільш тонких диференційованих рухів язиком.</w:t>
      </w:r>
    </w:p>
    <w:p w:rsidR="00A90C1E" w:rsidRPr="00A90C1E" w:rsidRDefault="00A90C1E" w:rsidP="00A90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полегшення відмежування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дислалії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від мінімальних проявів дизартрії нами у вигляді порівняльної таблиці були виділені та коротко охарактеризовані основні діагностичні критерії зазначених мовленнєвих порушень.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838"/>
        <w:gridCol w:w="242"/>
        <w:gridCol w:w="1438"/>
        <w:gridCol w:w="2700"/>
        <w:gridCol w:w="3780"/>
      </w:tblGrid>
      <w:tr w:rsidR="005736C1" w:rsidRPr="005736C1" w:rsidTr="00EE1936">
        <w:tc>
          <w:tcPr>
            <w:tcW w:w="3348" w:type="dxa"/>
            <w:gridSpan w:val="4"/>
            <w:vMerge w:val="restart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Діагностичні критерії</w:t>
            </w:r>
          </w:p>
        </w:tc>
        <w:tc>
          <w:tcPr>
            <w:tcW w:w="6480" w:type="dxa"/>
            <w:gridSpan w:val="2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Логопедичний висновок</w:t>
            </w:r>
          </w:p>
        </w:tc>
      </w:tr>
      <w:tr w:rsidR="005736C1" w:rsidRPr="005736C1" w:rsidTr="00EE1936">
        <w:tc>
          <w:tcPr>
            <w:tcW w:w="3348" w:type="dxa"/>
            <w:gridSpan w:val="4"/>
            <w:vMerge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Дислалія</w:t>
            </w:r>
          </w:p>
        </w:tc>
        <w:tc>
          <w:tcPr>
            <w:tcW w:w="378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Стерта форма дизартрії</w:t>
            </w:r>
          </w:p>
        </w:tc>
      </w:tr>
      <w:tr w:rsidR="005736C1" w:rsidRPr="005736C1" w:rsidTr="00EE1936">
        <w:tc>
          <w:tcPr>
            <w:tcW w:w="830" w:type="dxa"/>
            <w:vMerge w:val="restart"/>
            <w:textDirection w:val="btLr"/>
          </w:tcPr>
          <w:p w:rsidR="005736C1" w:rsidRPr="005736C1" w:rsidRDefault="005736C1" w:rsidP="00A90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Анамнестичні дані</w:t>
            </w:r>
          </w:p>
        </w:tc>
        <w:tc>
          <w:tcPr>
            <w:tcW w:w="2518" w:type="dxa"/>
            <w:gridSpan w:val="3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вагітність і пологи</w:t>
            </w:r>
          </w:p>
        </w:tc>
        <w:tc>
          <w:tcPr>
            <w:tcW w:w="270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нормі</w:t>
            </w:r>
          </w:p>
        </w:tc>
        <w:tc>
          <w:tcPr>
            <w:tcW w:w="378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ускладнені </w:t>
            </w:r>
          </w:p>
        </w:tc>
      </w:tr>
      <w:tr w:rsidR="005736C1" w:rsidRPr="005736C1" w:rsidTr="00EE1936">
        <w:tc>
          <w:tcPr>
            <w:tcW w:w="830" w:type="dxa"/>
            <w:vMerge/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крик</w:t>
            </w:r>
          </w:p>
        </w:tc>
        <w:tc>
          <w:tcPr>
            <w:tcW w:w="270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дзвінкий, тривалий</w:t>
            </w:r>
          </w:p>
        </w:tc>
        <w:tc>
          <w:tcPr>
            <w:tcW w:w="378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 глухий, короткий, із обмеженим інтонуванням</w:t>
            </w:r>
          </w:p>
        </w:tc>
      </w:tr>
      <w:tr w:rsidR="005736C1" w:rsidRPr="005736C1" w:rsidTr="00EE1936">
        <w:tc>
          <w:tcPr>
            <w:tcW w:w="830" w:type="dxa"/>
            <w:vMerge/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органічне ураження ЦНС</w:t>
            </w:r>
          </w:p>
        </w:tc>
        <w:tc>
          <w:tcPr>
            <w:tcW w:w="270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відсутнє</w:t>
            </w:r>
          </w:p>
        </w:tc>
        <w:tc>
          <w:tcPr>
            <w:tcW w:w="378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наявне у вигляді вогнищевої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мікросимптоматики</w:t>
            </w:r>
            <w:proofErr w:type="spellEnd"/>
          </w:p>
        </w:tc>
      </w:tr>
      <w:tr w:rsidR="005736C1" w:rsidRPr="004B6DEB" w:rsidTr="00EE1936">
        <w:tc>
          <w:tcPr>
            <w:tcW w:w="830" w:type="dxa"/>
            <w:vMerge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неврологічна симптоматика</w:t>
            </w:r>
          </w:p>
        </w:tc>
        <w:tc>
          <w:tcPr>
            <w:tcW w:w="270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3780" w:type="dxa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наявна у вигляді асиметрії обличчя, органів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мовнорухового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апарату, зокрема язика та м’якого піднебіння,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згладженості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носо-губних складок; незначні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девіації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язика, різне розкриття очних щілин;  внаслідок парезу губ рот у спокої напіввідкритий </w:t>
            </w:r>
          </w:p>
        </w:tc>
      </w:tr>
      <w:tr w:rsidR="005736C1" w:rsidRPr="005736C1" w:rsidTr="00EE1936">
        <w:tc>
          <w:tcPr>
            <w:tcW w:w="830" w:type="dxa"/>
            <w:vMerge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м’язовий тонус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тонусу відсутня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змінений за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паретичним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типом зі значною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вираженістю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в артикуляційній і мімічній мускулатурі, так і в мускулатурі рук</w:t>
            </w:r>
          </w:p>
        </w:tc>
      </w:tr>
      <w:tr w:rsidR="005736C1" w:rsidRPr="005736C1" w:rsidTr="00EE1936">
        <w:tc>
          <w:tcPr>
            <w:tcW w:w="830" w:type="dxa"/>
            <w:vMerge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салівація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ковтання слини автоматизується у процесі розвитку мовлення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мовлення слина накопичується у роті та витікає з його куточків; утруднена автоматизація ковтання слини</w:t>
            </w:r>
          </w:p>
        </w:tc>
      </w:tr>
      <w:tr w:rsidR="005736C1" w:rsidRPr="005736C1" w:rsidTr="00EE1936">
        <w:tc>
          <w:tcPr>
            <w:tcW w:w="830" w:type="dxa"/>
            <w:vMerge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вегетативні порушення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часті, у вигляді гіпергідрозу (підвищеного потовиділення) шкіри долонь і стоп, червоного дермографізму шкіри, симптому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Хвостека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яскрава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вираженість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вигляді значного гіпергідрозу кінцівок,  зміна їх кольору та температури</w:t>
            </w:r>
          </w:p>
        </w:tc>
      </w:tr>
      <w:tr w:rsidR="005736C1" w:rsidRPr="005736C1" w:rsidTr="00EE1936">
        <w:trPr>
          <w:cantSplit/>
          <w:trHeight w:val="1134"/>
        </w:trPr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736C1" w:rsidRPr="005736C1" w:rsidRDefault="005736C1" w:rsidP="00A90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ранній мовленнєвий розвиток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гуління, лепет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недостатньо інтоновані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інтоновані</w:t>
            </w:r>
          </w:p>
        </w:tc>
      </w:tr>
      <w:tr w:rsidR="005736C1" w:rsidRPr="005736C1" w:rsidTr="00EE1936">
        <w:trPr>
          <w:cantSplit/>
          <w:trHeight w:val="1134"/>
        </w:trPr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затримка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мовлен-нєвого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наявна: перші слова з’являються у 1,5–2 р., фразове мовлення – у 2–3 р.</w:t>
            </w:r>
          </w:p>
        </w:tc>
      </w:tr>
      <w:tr w:rsidR="005736C1" w:rsidRPr="005736C1" w:rsidTr="00EE1936">
        <w:tc>
          <w:tcPr>
            <w:tcW w:w="830" w:type="dxa"/>
            <w:vMerge w:val="restart"/>
            <w:textDirection w:val="btLr"/>
          </w:tcPr>
          <w:p w:rsidR="005736C1" w:rsidRPr="005736C1" w:rsidRDefault="005736C1" w:rsidP="00A90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Рухова сфера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нормі; висока пластичність і координованість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дещо уповільнений темп розвитку; точність рухів знижена, недостатнє відчуття ритму; статична та динамічна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диспраксія</w:t>
            </w:r>
            <w:proofErr w:type="spellEnd"/>
          </w:p>
        </w:tc>
      </w:tr>
      <w:tr w:rsidR="005736C1" w:rsidRPr="005736C1" w:rsidTr="00EE1936">
        <w:tc>
          <w:tcPr>
            <w:tcW w:w="830" w:type="dxa"/>
            <w:vMerge/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динамічний праксис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порушений; уповільнене переключення з одного руху на інший</w:t>
            </w:r>
          </w:p>
        </w:tc>
      </w:tr>
      <w:tr w:rsidR="005736C1" w:rsidRPr="005736C1" w:rsidTr="00EE1936">
        <w:tc>
          <w:tcPr>
            <w:tcW w:w="830" w:type="dxa"/>
            <w:vMerge/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моторика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патології, сухожильні рефлекси рівномірні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яскраво виражена незграбність</w:t>
            </w:r>
          </w:p>
        </w:tc>
      </w:tr>
      <w:tr w:rsidR="005736C1" w:rsidRPr="004B6DEB" w:rsidTr="00EE1936">
        <w:tc>
          <w:tcPr>
            <w:tcW w:w="830" w:type="dxa"/>
            <w:vMerge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артикуляційні рухи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можуть бути збереженими чи утрудненими внаслідок органічних дефектів периферичного мовленнєвого апарату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неточні; язик постійно хаотично рухається, ніби не може знайти потрібного положення, часта зміна його конфігурації, труднощі утримання артикуляційної пози,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девіації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язика; корінь язика напружений, кінчик виражений недостатньо; при відкритті рота язик неспокійний, злегка відтягується назад, при потребі у русі язик стає вузьким і довгим або в’ялим і неповоротким у русі; обмеження обсягу найбільш тонких і диференційованих рухів; спостерігається патологія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реципрокної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іннервації (наприклад, при дещо підвищеному тонусі м’язів кореня язика може відмічатися однобічне зниження тонусу його бічної сторони чи кінчика)</w:t>
            </w:r>
          </w:p>
        </w:tc>
      </w:tr>
      <w:tr w:rsidR="005736C1" w:rsidRPr="004B6DEB" w:rsidTr="00EE1936"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синкінезії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 – рух нижньої щелепи при підйомі язика вгору, рух пальців при рухах язика</w:t>
            </w:r>
          </w:p>
        </w:tc>
      </w:tr>
      <w:tr w:rsidR="005736C1" w:rsidRPr="005736C1" w:rsidTr="00EE1936">
        <w:tc>
          <w:tcPr>
            <w:tcW w:w="33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Тривалість вироблення та стійкість гігієнічних навичок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швидка і стійка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повільна і недостатня</w:t>
            </w:r>
          </w:p>
        </w:tc>
      </w:tr>
      <w:tr w:rsidR="005736C1" w:rsidRPr="005736C1" w:rsidTr="00EE1936">
        <w:tc>
          <w:tcPr>
            <w:tcW w:w="3348" w:type="dxa"/>
            <w:gridSpan w:val="4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Розлади сну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досить часті</w:t>
            </w:r>
          </w:p>
        </w:tc>
      </w:tr>
      <w:tr w:rsidR="005736C1" w:rsidRPr="005736C1" w:rsidTr="00EE1936">
        <w:tc>
          <w:tcPr>
            <w:tcW w:w="3348" w:type="dxa"/>
            <w:gridSpan w:val="4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Емоційна сфера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стабільна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нестабільна</w:t>
            </w:r>
          </w:p>
        </w:tc>
      </w:tr>
      <w:tr w:rsidR="005736C1" w:rsidRPr="005736C1" w:rsidTr="00EE1936">
        <w:trPr>
          <w:cantSplit/>
          <w:trHeight w:val="1134"/>
        </w:trPr>
        <w:tc>
          <w:tcPr>
            <w:tcW w:w="830" w:type="dxa"/>
            <w:vMerge w:val="restart"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A90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Пізнавальна сфера</w:t>
            </w: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пізнавальна активність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низька; труднощі переключення з одного виду діяльності на інший</w:t>
            </w:r>
          </w:p>
        </w:tc>
      </w:tr>
      <w:tr w:rsidR="005736C1" w:rsidRPr="005736C1" w:rsidTr="00EE1936">
        <w:trPr>
          <w:cantSplit/>
          <w:trHeight w:val="1134"/>
        </w:trPr>
        <w:tc>
          <w:tcPr>
            <w:tcW w:w="830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увага різних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модальностей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36C1" w:rsidRPr="005736C1" w:rsidRDefault="005736C1" w:rsidP="00A90C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нормі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нестійка</w:t>
            </w:r>
          </w:p>
        </w:tc>
      </w:tr>
      <w:tr w:rsidR="005736C1" w:rsidRPr="005736C1" w:rsidTr="00EE1936">
        <w:trPr>
          <w:cantSplit/>
          <w:trHeight w:val="1134"/>
        </w:trPr>
        <w:tc>
          <w:tcPr>
            <w:tcW w:w="830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оптико-просторовий гнозис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неточний; труднощі орієнтування в схемі тіла</w:t>
            </w:r>
          </w:p>
        </w:tc>
      </w:tr>
      <w:tr w:rsidR="005736C1" w:rsidRPr="005736C1" w:rsidTr="00EE1936">
        <w:trPr>
          <w:cantSplit/>
          <w:trHeight w:val="1134"/>
        </w:trPr>
        <w:tc>
          <w:tcPr>
            <w:tcW w:w="830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сформованість сенсорних еталонів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недостатня; труднощі при визначенні та називанні кольорів і відтінків, розмірів і форм предметів</w:t>
            </w:r>
          </w:p>
        </w:tc>
      </w:tr>
      <w:tr w:rsidR="005736C1" w:rsidRPr="005736C1" w:rsidTr="00EE1936">
        <w:tc>
          <w:tcPr>
            <w:tcW w:w="830" w:type="dxa"/>
            <w:vMerge w:val="restart"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Мовленнєва діяльність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 ушкоджена ланка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звуковимова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звуковимова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просодика</w:t>
            </w:r>
            <w:proofErr w:type="spellEnd"/>
          </w:p>
        </w:tc>
      </w:tr>
      <w:tr w:rsidR="005736C1" w:rsidRPr="005736C1" w:rsidTr="00EE1936">
        <w:tc>
          <w:tcPr>
            <w:tcW w:w="830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мовленнєва активність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знижена</w:t>
            </w:r>
          </w:p>
        </w:tc>
      </w:tr>
      <w:tr w:rsidR="005736C1" w:rsidRPr="005736C1" w:rsidTr="00EE1936"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комунікабельність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утруднена</w:t>
            </w:r>
          </w:p>
        </w:tc>
      </w:tr>
      <w:tr w:rsidR="005736C1" w:rsidRPr="005736C1" w:rsidTr="00EE1936"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дихальна функція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нормі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дихання поверхневе, ключичне, аритмічне; затримка в розвитку мовленнєвого дихання; додаткові вдихи під час промовляння фраз (речень) </w:t>
            </w:r>
          </w:p>
        </w:tc>
      </w:tr>
      <w:tr w:rsidR="005736C1" w:rsidRPr="005736C1" w:rsidTr="005736C1">
        <w:trPr>
          <w:cantSplit/>
          <w:trHeight w:val="1134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просодична складова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голос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дзвінкий, багато модульований, чистий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глухий, слабкий, здавлений, затухаючий, переривчастий, нерідко з назалізованим відтінком; компенсаторне напруження м’язів глотки та шиї під час гучного мовлення</w:t>
            </w:r>
          </w:p>
        </w:tc>
      </w:tr>
      <w:tr w:rsidR="005736C1" w:rsidRPr="005736C1" w:rsidTr="005736C1">
        <w:trPr>
          <w:cantSplit/>
          <w:trHeight w:val="1134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темп мовлення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віковій нормі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часто прискорений, рідше – уповільнений </w:t>
            </w:r>
          </w:p>
        </w:tc>
      </w:tr>
      <w:tr w:rsidR="005736C1" w:rsidRPr="005736C1" w:rsidTr="005736C1">
        <w:trPr>
          <w:cantSplit/>
          <w:trHeight w:val="1134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нормі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деяка аритмія при зв’язних висловлюваннях</w:t>
            </w:r>
          </w:p>
        </w:tc>
      </w:tr>
      <w:tr w:rsidR="005736C1" w:rsidRPr="005736C1" w:rsidTr="00A90C1E">
        <w:trPr>
          <w:cantSplit/>
          <w:trHeight w:val="485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дикція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чітка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змазанність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мовлення</w:t>
            </w:r>
          </w:p>
        </w:tc>
      </w:tr>
      <w:tr w:rsidR="005736C1" w:rsidRPr="005736C1" w:rsidTr="005736C1">
        <w:trPr>
          <w:cantSplit/>
          <w:trHeight w:val="280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інтонація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віку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дещо збіднена</w:t>
            </w:r>
          </w:p>
        </w:tc>
      </w:tr>
      <w:tr w:rsidR="005736C1" w:rsidRPr="004B6DEB" w:rsidTr="005736C1">
        <w:trPr>
          <w:cantSplit/>
          <w:trHeight w:val="1134"/>
        </w:trPr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паузація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нормі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необґрунтована у зв’язку з недостатнім володінням мовленнєвим диханням; відсутні паузи між фразами</w:t>
            </w:r>
          </w:p>
        </w:tc>
      </w:tr>
      <w:tr w:rsidR="005736C1" w:rsidRPr="005736C1" w:rsidTr="005736C1"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  <w:textDirection w:val="btLr"/>
          </w:tcPr>
          <w:p w:rsidR="005736C1" w:rsidRPr="005736C1" w:rsidRDefault="005736C1" w:rsidP="005736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звуковимови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спостерігається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наявне</w:t>
            </w:r>
          </w:p>
        </w:tc>
      </w:tr>
      <w:tr w:rsidR="005736C1" w:rsidRPr="004B6DEB" w:rsidTr="005736C1"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приголосних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окремих або однієї (кількох) групи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простих, так і складних за артикуляцією; спотворення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какумінальних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(утворюваних при піднятому та / або злегка загнутому кінчику язика) звуків; розпад африкат на окремі складові; оглушення внаслідок утрудненого утворення динамічного стереотипу; значна кількість бокових і міжзубних варіантів унаслідок асиметричної іннервації язика</w:t>
            </w:r>
          </w:p>
        </w:tc>
      </w:tr>
      <w:tr w:rsidR="005736C1" w:rsidRPr="005736C1" w:rsidTr="00EE1936"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звуків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утруднена, тривала; виправлений автоматизований ізольований звук залишається порушеним під час зв’язного мовлення</w:t>
            </w:r>
          </w:p>
        </w:tc>
      </w:tr>
      <w:tr w:rsidR="005736C1" w:rsidRPr="005736C1" w:rsidTr="00EE1936"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слуховий контроль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достатньо сформований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помічаються помилки</w:t>
            </w: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 власному мовленні</w:t>
            </w:r>
          </w:p>
        </w:tc>
      </w:tr>
      <w:tr w:rsidR="005736C1" w:rsidRPr="005736C1" w:rsidTr="00EE1936">
        <w:tc>
          <w:tcPr>
            <w:tcW w:w="830" w:type="dxa"/>
            <w:vMerge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складова структура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поодинокі помилки у словах складної складової структури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 формується із затримкою; помилки в послідовності вимови складів у словах</w:t>
            </w:r>
          </w:p>
        </w:tc>
      </w:tr>
      <w:tr w:rsidR="005736C1" w:rsidRPr="004B6DEB" w:rsidTr="00EE1936">
        <w:tc>
          <w:tcPr>
            <w:tcW w:w="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18" w:type="dxa"/>
            <w:gridSpan w:val="3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лексико-граматичної складової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спостерігається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наявні;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складнений</w:t>
            </w: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вибір потрібного слова, введення лексичної одиниці в систему синтагматичних зв’язків і парадигматичних відношень внаслідок порушення </w:t>
            </w: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мовленнєвих кінестезій; складність формування загальної схеми висловлювання, специфічні труднощі у виділенні суттєвих і гальмуванні другорядних зв’язків по причині порушень мозкової діяльності; паралічна симптоматика</w:t>
            </w:r>
          </w:p>
        </w:tc>
      </w:tr>
      <w:tr w:rsidR="005736C1" w:rsidRPr="005736C1" w:rsidTr="00EE1936">
        <w:tc>
          <w:tcPr>
            <w:tcW w:w="3348" w:type="dxa"/>
            <w:gridSpan w:val="4"/>
            <w:tcBorders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Критичність до власного дефекту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відсутня, байдуже ставлення</w:t>
            </w:r>
          </w:p>
        </w:tc>
      </w:tr>
      <w:tr w:rsidR="005736C1" w:rsidRPr="005736C1" w:rsidTr="00EE1936">
        <w:tc>
          <w:tcPr>
            <w:tcW w:w="33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Динаміка виправлення </w:t>
            </w:r>
          </w:p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ході </w:t>
            </w:r>
            <w:proofErr w:type="spellStart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логокорекційних</w:t>
            </w:r>
            <w:proofErr w:type="spellEnd"/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ігор-занять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швидка та легка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C1" w:rsidRPr="005736C1" w:rsidRDefault="005736C1" w:rsidP="00573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36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тривала та складна внаслідок резистентності (стійкості) порушення звуковимови</w:t>
            </w:r>
          </w:p>
        </w:tc>
      </w:tr>
    </w:tbl>
    <w:p w:rsidR="005736C1" w:rsidRDefault="005736C1" w:rsidP="005736C1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36C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діагностики та лікування</w:t>
      </w:r>
    </w:p>
    <w:p w:rsidR="005736C1" w:rsidRDefault="005736C1" w:rsidP="005736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736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Важливий етап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sym w:font="Symbol" w:char="F02D"/>
      </w:r>
      <w:r w:rsidRPr="005736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це обстеження у логопеда, у ході якого виявляються навіть приховані форми дизартрії. Процедура складається з декількох етапів, при яких дається оцінка правильності дихання і рівномірності промови, відтворення окремих звуків і усвідомлених словосполучень. </w:t>
      </w:r>
    </w:p>
    <w:p w:rsidR="00A90C1E" w:rsidRPr="00A90C1E" w:rsidRDefault="00A90C1E" w:rsidP="00A90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>Додаткові етапи діагностики спрямовані на виявлення ділянки нервової системи, в якому знаходиться вогнище ураження.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0C1E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 можливо, завдяки специфічним методиками:</w:t>
      </w:r>
    </w:p>
    <w:p w:rsidR="00A90C1E" w:rsidRPr="00A90C1E" w:rsidRDefault="00A90C1E" w:rsidP="00A90C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електрофізіологічні дослідження, в тому числі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електроенцефалографія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та оцінка активності лицьових м’язів;</w:t>
      </w:r>
    </w:p>
    <w:p w:rsidR="00A90C1E" w:rsidRPr="00A90C1E" w:rsidRDefault="00A90C1E" w:rsidP="00A90C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головного мозку шляхом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транскраніального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магнітного випромінювання;</w:t>
      </w:r>
    </w:p>
    <w:p w:rsidR="00A90C1E" w:rsidRPr="00A90C1E" w:rsidRDefault="00A90C1E" w:rsidP="00A90C1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0C1E">
        <w:rPr>
          <w:rFonts w:ascii="Times New Roman" w:hAnsi="Times New Roman" w:cs="Times New Roman"/>
          <w:sz w:val="28"/>
          <w:szCs w:val="28"/>
          <w:lang w:val="uk-UA"/>
        </w:rPr>
        <w:t>МРТ головного мозку.</w:t>
      </w:r>
    </w:p>
    <w:p w:rsidR="00A90C1E" w:rsidRDefault="00A90C1E" w:rsidP="005736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Лікування дизартрії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це тривалий процес, який повністю проходить під контролем лікарів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0C1E" w:rsidRPr="00A90C1E" w:rsidRDefault="00A90C1E" w:rsidP="00A90C1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>огокорекція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дислалій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досить швидко та потребує від учителя-логопеда лише формування у дітей умінь і навичок правильного відтворення звуків, то стерта дизартрія, незважаючи на уявну парціальність порушення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звуковимовної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складової мовлення, є досить складним видом дизонтогенезу мовленнєвої 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яльності. Дошкільники з мінімальними проявами дизартрії потребують цілеспрямованої та довготривалої </w:t>
      </w:r>
      <w:proofErr w:type="spellStart"/>
      <w:r w:rsidRPr="00A90C1E">
        <w:rPr>
          <w:rFonts w:ascii="Times New Roman" w:hAnsi="Times New Roman" w:cs="Times New Roman"/>
          <w:sz w:val="28"/>
          <w:szCs w:val="28"/>
          <w:lang w:val="uk-UA"/>
        </w:rPr>
        <w:t>логокорекційної</w:t>
      </w:r>
      <w:proofErr w:type="spellEnd"/>
      <w:r w:rsidRPr="00A90C1E">
        <w:rPr>
          <w:rFonts w:ascii="Times New Roman" w:hAnsi="Times New Roman" w:cs="Times New Roman"/>
          <w:sz w:val="28"/>
          <w:szCs w:val="28"/>
          <w:lang w:val="uk-UA"/>
        </w:rPr>
        <w:t xml:space="preserve"> роботи з формування фонетичної та лексико-граматичної складових мовлення.</w:t>
      </w:r>
    </w:p>
    <w:p w:rsidR="00A90C1E" w:rsidRPr="00E11CA1" w:rsidRDefault="00E11CA1" w:rsidP="00E11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CA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E11CA1" w:rsidRDefault="00E11CA1" w:rsidP="005736C1">
      <w:pPr>
        <w:pStyle w:val="1"/>
        <w:numPr>
          <w:ilvl w:val="0"/>
          <w:numId w:val="3"/>
        </w:numPr>
        <w:spacing w:line="276" w:lineRule="auto"/>
        <w:jc w:val="both"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bCs/>
          <w:sz w:val="28"/>
          <w:szCs w:val="28"/>
          <w:lang w:val="uk-UA"/>
        </w:rPr>
        <w:t>Рібцун</w:t>
      </w:r>
      <w:proofErr w:type="spellEnd"/>
      <w:r>
        <w:rPr>
          <w:b w:val="0"/>
          <w:bCs/>
          <w:sz w:val="28"/>
          <w:szCs w:val="28"/>
          <w:lang w:val="uk-UA"/>
        </w:rPr>
        <w:t> Ю. </w:t>
      </w:r>
      <w:r w:rsidRPr="00E11CA1">
        <w:rPr>
          <w:b w:val="0"/>
          <w:bCs/>
          <w:sz w:val="28"/>
          <w:szCs w:val="28"/>
          <w:lang w:val="uk-UA"/>
        </w:rPr>
        <w:t xml:space="preserve">В. </w:t>
      </w:r>
      <w:r w:rsidRPr="00E11CA1">
        <w:rPr>
          <w:b w:val="0"/>
          <w:sz w:val="28"/>
          <w:szCs w:val="28"/>
          <w:lang w:val="uk-UA"/>
        </w:rPr>
        <w:t xml:space="preserve">До питання диференційної діагностики </w:t>
      </w:r>
      <w:proofErr w:type="spellStart"/>
      <w:r w:rsidRPr="00E11CA1">
        <w:rPr>
          <w:b w:val="0"/>
          <w:sz w:val="28"/>
          <w:szCs w:val="28"/>
          <w:lang w:val="uk-UA"/>
        </w:rPr>
        <w:t>дислалії</w:t>
      </w:r>
      <w:proofErr w:type="spellEnd"/>
      <w:r w:rsidRPr="00E11CA1">
        <w:rPr>
          <w:b w:val="0"/>
          <w:sz w:val="28"/>
          <w:szCs w:val="28"/>
          <w:lang w:val="uk-UA"/>
        </w:rPr>
        <w:t xml:space="preserve"> та мінімальних проявів дизартрії // </w:t>
      </w:r>
      <w:r w:rsidRPr="00E11CA1">
        <w:rPr>
          <w:b w:val="0"/>
          <w:i/>
          <w:sz w:val="28"/>
          <w:szCs w:val="28"/>
          <w:lang w:val="uk-UA"/>
        </w:rPr>
        <w:t>Науковий часопис</w:t>
      </w:r>
      <w:r>
        <w:rPr>
          <w:b w:val="0"/>
          <w:sz w:val="28"/>
          <w:szCs w:val="28"/>
          <w:lang w:val="uk-UA"/>
        </w:rPr>
        <w:t xml:space="preserve"> НПУ імені М. П. </w:t>
      </w:r>
      <w:r w:rsidRPr="00E11CA1">
        <w:rPr>
          <w:b w:val="0"/>
          <w:sz w:val="28"/>
          <w:szCs w:val="28"/>
          <w:lang w:val="uk-UA"/>
        </w:rPr>
        <w:t>Драгомано</w:t>
      </w:r>
      <w:r>
        <w:rPr>
          <w:b w:val="0"/>
          <w:sz w:val="28"/>
          <w:szCs w:val="28"/>
          <w:lang w:val="uk-UA"/>
        </w:rPr>
        <w:t>ва : зб. наук. пр. № 21. Київ </w:t>
      </w:r>
      <w:r w:rsidRPr="00E11CA1">
        <w:rPr>
          <w:b w:val="0"/>
          <w:sz w:val="28"/>
          <w:szCs w:val="28"/>
          <w:lang w:val="uk-UA"/>
        </w:rPr>
        <w:t xml:space="preserve">: НПУ </w:t>
      </w:r>
      <w:r>
        <w:rPr>
          <w:b w:val="0"/>
          <w:sz w:val="28"/>
          <w:szCs w:val="28"/>
          <w:lang w:val="uk-UA"/>
        </w:rPr>
        <w:t>імені М. П. Драгоманова, 2012.</w:t>
      </w:r>
      <w:r w:rsidRPr="00E11CA1">
        <w:rPr>
          <w:b w:val="0"/>
          <w:sz w:val="28"/>
          <w:szCs w:val="28"/>
          <w:lang w:val="uk-UA"/>
        </w:rPr>
        <w:t xml:space="preserve"> С. 226</w:t>
      </w:r>
      <w:r>
        <w:rPr>
          <w:b w:val="0"/>
          <w:sz w:val="28"/>
          <w:szCs w:val="28"/>
          <w:lang w:val="uk-UA"/>
        </w:rPr>
        <w:t xml:space="preserve">-230. </w:t>
      </w:r>
      <w:r w:rsidRPr="00E11CA1">
        <w:rPr>
          <w:b w:val="0"/>
          <w:sz w:val="28"/>
          <w:szCs w:val="28"/>
          <w:lang w:val="uk-UA"/>
        </w:rPr>
        <w:t>(Серія 19. Корекційна педагогіка та спеціальна психологія)</w:t>
      </w:r>
    </w:p>
    <w:p w:rsidR="00E11CA1" w:rsidRPr="00E11CA1" w:rsidRDefault="00E11CA1" w:rsidP="00E11CA1">
      <w:pPr>
        <w:pStyle w:val="1"/>
        <w:numPr>
          <w:ilvl w:val="0"/>
          <w:numId w:val="3"/>
        </w:numPr>
        <w:spacing w:line="276" w:lineRule="auto"/>
        <w:jc w:val="both"/>
        <w:rPr>
          <w:b w:val="0"/>
          <w:bCs/>
          <w:iCs/>
          <w:sz w:val="28"/>
          <w:szCs w:val="28"/>
          <w:lang w:val="en-US"/>
        </w:rPr>
      </w:pPr>
      <w:proofErr w:type="spellStart"/>
      <w:r w:rsidRPr="00E11CA1">
        <w:rPr>
          <w:b w:val="0"/>
          <w:bCs/>
          <w:iCs/>
          <w:sz w:val="28"/>
          <w:szCs w:val="28"/>
          <w:lang w:val="uk-UA"/>
        </w:rPr>
        <w:t>Сокульська</w:t>
      </w:r>
      <w:proofErr w:type="spellEnd"/>
      <w:r w:rsidRPr="00E11CA1">
        <w:rPr>
          <w:b w:val="0"/>
          <w:bCs/>
          <w:iCs/>
          <w:sz w:val="28"/>
          <w:szCs w:val="28"/>
          <w:lang w:val="uk-UA"/>
        </w:rPr>
        <w:t xml:space="preserve"> О. Б. </w:t>
      </w:r>
      <w:proofErr w:type="spellStart"/>
      <w:r w:rsidRPr="00E11CA1">
        <w:rPr>
          <w:b w:val="0"/>
          <w:bCs/>
          <w:iCs/>
          <w:sz w:val="28"/>
          <w:szCs w:val="28"/>
        </w:rPr>
        <w:t>Диференціальна</w:t>
      </w:r>
      <w:proofErr w:type="spellEnd"/>
      <w:r w:rsidRPr="00E11CA1">
        <w:rPr>
          <w:b w:val="0"/>
          <w:bCs/>
          <w:iCs/>
          <w:sz w:val="28"/>
          <w:szCs w:val="28"/>
        </w:rPr>
        <w:t xml:space="preserve"> </w:t>
      </w:r>
      <w:proofErr w:type="spellStart"/>
      <w:r w:rsidRPr="00E11CA1">
        <w:rPr>
          <w:b w:val="0"/>
          <w:bCs/>
          <w:iCs/>
          <w:sz w:val="28"/>
          <w:szCs w:val="28"/>
        </w:rPr>
        <w:t>діагнос</w:t>
      </w:r>
      <w:r>
        <w:rPr>
          <w:b w:val="0"/>
          <w:bCs/>
          <w:iCs/>
          <w:sz w:val="28"/>
          <w:szCs w:val="28"/>
        </w:rPr>
        <w:t>тика</w:t>
      </w:r>
      <w:proofErr w:type="spellEnd"/>
      <w:r>
        <w:rPr>
          <w:b w:val="0"/>
          <w:bCs/>
          <w:iCs/>
          <w:sz w:val="28"/>
          <w:szCs w:val="28"/>
        </w:rPr>
        <w:t xml:space="preserve"> </w:t>
      </w:r>
      <w:proofErr w:type="spellStart"/>
      <w:r>
        <w:rPr>
          <w:b w:val="0"/>
          <w:bCs/>
          <w:iCs/>
          <w:sz w:val="28"/>
          <w:szCs w:val="28"/>
        </w:rPr>
        <w:t>порушень</w:t>
      </w:r>
      <w:proofErr w:type="spellEnd"/>
      <w:r>
        <w:rPr>
          <w:b w:val="0"/>
          <w:bCs/>
          <w:iCs/>
          <w:sz w:val="28"/>
          <w:szCs w:val="28"/>
        </w:rPr>
        <w:t xml:space="preserve"> </w:t>
      </w:r>
      <w:proofErr w:type="spellStart"/>
      <w:r>
        <w:rPr>
          <w:b w:val="0"/>
          <w:bCs/>
          <w:iCs/>
          <w:sz w:val="28"/>
          <w:szCs w:val="28"/>
        </w:rPr>
        <w:t>мовного</w:t>
      </w:r>
      <w:proofErr w:type="spellEnd"/>
      <w:r>
        <w:rPr>
          <w:b w:val="0"/>
          <w:bCs/>
          <w:iCs/>
          <w:sz w:val="28"/>
          <w:szCs w:val="28"/>
        </w:rPr>
        <w:t xml:space="preserve"> </w:t>
      </w:r>
      <w:proofErr w:type="spellStart"/>
      <w:r>
        <w:rPr>
          <w:b w:val="0"/>
          <w:bCs/>
          <w:iCs/>
          <w:sz w:val="28"/>
          <w:szCs w:val="28"/>
        </w:rPr>
        <w:t>розвитку</w:t>
      </w:r>
      <w:proofErr w:type="spellEnd"/>
      <w:r>
        <w:rPr>
          <w:b w:val="0"/>
          <w:bCs/>
          <w:iCs/>
          <w:sz w:val="28"/>
          <w:szCs w:val="28"/>
        </w:rPr>
        <w:t>.</w:t>
      </w:r>
      <w:r>
        <w:rPr>
          <w:b w:val="0"/>
          <w:bCs/>
          <w:iCs/>
          <w:sz w:val="28"/>
          <w:szCs w:val="28"/>
          <w:lang w:val="uk-UA"/>
        </w:rPr>
        <w:t xml:space="preserve"> </w:t>
      </w:r>
      <w:proofErr w:type="gramStart"/>
      <w:r>
        <w:rPr>
          <w:b w:val="0"/>
          <w:bCs/>
          <w:iCs/>
          <w:sz w:val="28"/>
          <w:szCs w:val="28"/>
          <w:lang w:val="en-US"/>
        </w:rPr>
        <w:t>URL</w:t>
      </w:r>
      <w:r>
        <w:rPr>
          <w:b w:val="0"/>
          <w:bCs/>
          <w:iCs/>
          <w:sz w:val="28"/>
          <w:szCs w:val="28"/>
          <w:lang w:val="uk-UA"/>
        </w:rPr>
        <w:t> </w:t>
      </w:r>
      <w:r>
        <w:rPr>
          <w:b w:val="0"/>
          <w:bCs/>
          <w:iCs/>
          <w:sz w:val="28"/>
          <w:szCs w:val="28"/>
          <w:lang w:val="en-US"/>
        </w:rPr>
        <w:t>:</w:t>
      </w:r>
      <w:proofErr w:type="gramEnd"/>
      <w:r>
        <w:rPr>
          <w:b w:val="0"/>
          <w:bCs/>
          <w:iCs/>
          <w:sz w:val="28"/>
          <w:szCs w:val="28"/>
          <w:lang w:val="en-US"/>
        </w:rPr>
        <w:t xml:space="preserve"> </w:t>
      </w:r>
      <w:r w:rsidRPr="00E11CA1">
        <w:rPr>
          <w:b w:val="0"/>
          <w:sz w:val="28"/>
          <w:szCs w:val="28"/>
          <w:lang w:val="uk-UA"/>
        </w:rPr>
        <w:t>https://vit-vladimir.ru/uk/differencialnaya-diagnostika-narushenii-rechevogo-razvitiya/</w:t>
      </w:r>
    </w:p>
    <w:sectPr w:rsidR="00E11CA1" w:rsidRPr="00E11CA1" w:rsidSect="0058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004"/>
    <w:multiLevelType w:val="multilevel"/>
    <w:tmpl w:val="04BE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1227C"/>
    <w:multiLevelType w:val="hybridMultilevel"/>
    <w:tmpl w:val="3D1E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85F53"/>
    <w:multiLevelType w:val="multilevel"/>
    <w:tmpl w:val="63D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05"/>
    <w:rsid w:val="000462CC"/>
    <w:rsid w:val="004B6DEB"/>
    <w:rsid w:val="005736C1"/>
    <w:rsid w:val="00585EBA"/>
    <w:rsid w:val="00600FEB"/>
    <w:rsid w:val="00671EE2"/>
    <w:rsid w:val="00701B69"/>
    <w:rsid w:val="008D2DA5"/>
    <w:rsid w:val="00A90C1E"/>
    <w:rsid w:val="00E11CA1"/>
    <w:rsid w:val="00F23676"/>
    <w:rsid w:val="00F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A"/>
  </w:style>
  <w:style w:type="paragraph" w:styleId="1">
    <w:name w:val="heading 1"/>
    <w:basedOn w:val="a"/>
    <w:next w:val="a"/>
    <w:link w:val="10"/>
    <w:qFormat/>
    <w:rsid w:val="00E11CA1"/>
    <w:pPr>
      <w:keepNext/>
      <w:spacing w:after="0" w:line="240" w:lineRule="auto"/>
      <w:ind w:right="-113" w:firstLine="505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DA5"/>
    <w:rPr>
      <w:b/>
      <w:bCs/>
    </w:rPr>
  </w:style>
  <w:style w:type="table" w:styleId="a4">
    <w:name w:val="Table Grid"/>
    <w:basedOn w:val="a1"/>
    <w:uiPriority w:val="59"/>
    <w:rsid w:val="00701B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1CA1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2022-10-07T15:46:00Z</dcterms:created>
  <dcterms:modified xsi:type="dcterms:W3CDTF">2022-10-12T12:07:00Z</dcterms:modified>
</cp:coreProperties>
</file>