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EDB" w:rsidRPr="007159B9" w:rsidRDefault="007159B9" w:rsidP="007430F8">
      <w:pPr>
        <w:spacing w:after="0" w:line="240" w:lineRule="auto"/>
        <w:jc w:val="center"/>
        <w:rPr>
          <w:rFonts w:ascii="Times New Roman" w:hAnsi="Times New Roman" w:cs="Times New Roman"/>
          <w:b/>
          <w:bCs/>
          <w:sz w:val="28"/>
          <w:szCs w:val="28"/>
          <w:lang w:val="uk-UA"/>
        </w:rPr>
      </w:pPr>
      <w:r w:rsidRPr="007159B9">
        <w:rPr>
          <w:rFonts w:ascii="Times New Roman" w:hAnsi="Times New Roman" w:cs="Times New Roman"/>
          <w:b/>
          <w:bCs/>
          <w:sz w:val="28"/>
          <w:szCs w:val="28"/>
        </w:rPr>
        <w:t>Л</w:t>
      </w:r>
      <w:r w:rsidR="004E559C">
        <w:rPr>
          <w:rFonts w:ascii="Times New Roman" w:hAnsi="Times New Roman" w:cs="Times New Roman"/>
          <w:b/>
          <w:bCs/>
          <w:sz w:val="28"/>
          <w:szCs w:val="28"/>
          <w:lang w:val="uk-UA"/>
        </w:rPr>
        <w:t>ЕКЦІЯ</w:t>
      </w:r>
      <w:r w:rsidR="0076533E" w:rsidRPr="007159B9">
        <w:rPr>
          <w:rFonts w:ascii="Times New Roman" w:hAnsi="Times New Roman" w:cs="Times New Roman"/>
          <w:b/>
          <w:bCs/>
          <w:sz w:val="28"/>
          <w:szCs w:val="28"/>
        </w:rPr>
        <w:t xml:space="preserve"> </w:t>
      </w:r>
      <w:r w:rsidR="007430F8">
        <w:rPr>
          <w:rFonts w:ascii="Times New Roman" w:hAnsi="Times New Roman" w:cs="Times New Roman"/>
          <w:b/>
          <w:bCs/>
          <w:sz w:val="28"/>
          <w:szCs w:val="28"/>
          <w:lang w:val="uk-UA"/>
        </w:rPr>
        <w:t>10-11</w:t>
      </w:r>
    </w:p>
    <w:p w:rsidR="008C4E03" w:rsidRDefault="004045CE" w:rsidP="008C4E03">
      <w:pPr>
        <w:spacing w:after="0" w:line="240" w:lineRule="auto"/>
        <w:jc w:val="center"/>
        <w:rPr>
          <w:rFonts w:ascii="Times New Roman" w:hAnsi="Times New Roman" w:cs="Times New Roman"/>
          <w:b/>
          <w:bCs/>
          <w:sz w:val="28"/>
          <w:szCs w:val="28"/>
          <w:lang w:val="uk-UA"/>
        </w:rPr>
      </w:pPr>
      <w:r w:rsidRPr="007159B9">
        <w:rPr>
          <w:rFonts w:ascii="Times New Roman" w:hAnsi="Times New Roman" w:cs="Times New Roman"/>
          <w:b/>
          <w:bCs/>
          <w:sz w:val="28"/>
          <w:szCs w:val="28"/>
          <w:lang w:val="uk-UA"/>
        </w:rPr>
        <w:t xml:space="preserve">ЕКОНОМІЧНА </w:t>
      </w:r>
      <w:r w:rsidR="00073BFD" w:rsidRPr="007159B9">
        <w:rPr>
          <w:rFonts w:ascii="Times New Roman" w:hAnsi="Times New Roman" w:cs="Times New Roman"/>
          <w:b/>
          <w:bCs/>
          <w:sz w:val="28"/>
          <w:szCs w:val="28"/>
          <w:lang w:val="uk-UA"/>
        </w:rPr>
        <w:t xml:space="preserve">БЕЗПЕКА УКРАЇНИ ТА </w:t>
      </w:r>
      <w:r w:rsidR="008C4E03">
        <w:rPr>
          <w:rFonts w:ascii="Times New Roman" w:hAnsi="Times New Roman" w:cs="Times New Roman"/>
          <w:b/>
          <w:bCs/>
          <w:sz w:val="28"/>
          <w:szCs w:val="28"/>
          <w:lang w:val="uk-UA"/>
        </w:rPr>
        <w:t xml:space="preserve"> </w:t>
      </w:r>
    </w:p>
    <w:p w:rsidR="0076533E" w:rsidRPr="007159B9" w:rsidRDefault="00073BFD" w:rsidP="008C4E03">
      <w:pPr>
        <w:spacing w:after="0" w:line="240" w:lineRule="auto"/>
        <w:jc w:val="center"/>
        <w:rPr>
          <w:rFonts w:ascii="Times New Roman" w:hAnsi="Times New Roman" w:cs="Times New Roman"/>
          <w:b/>
          <w:bCs/>
          <w:sz w:val="28"/>
          <w:szCs w:val="28"/>
          <w:lang w:val="uk-UA"/>
        </w:rPr>
      </w:pPr>
      <w:r w:rsidRPr="007159B9">
        <w:rPr>
          <w:rFonts w:ascii="Times New Roman" w:hAnsi="Times New Roman" w:cs="Times New Roman"/>
          <w:b/>
          <w:bCs/>
          <w:sz w:val="28"/>
          <w:szCs w:val="28"/>
          <w:lang w:val="uk-UA"/>
        </w:rPr>
        <w:t>ЄВРОІНТЕГРАЦІЙНІ ПРОЦЕСИ</w:t>
      </w:r>
    </w:p>
    <w:p w:rsidR="00CD57C5" w:rsidRPr="007159B9" w:rsidRDefault="00CD57C5" w:rsidP="008C4E03">
      <w:pPr>
        <w:spacing w:after="0" w:line="240" w:lineRule="auto"/>
        <w:jc w:val="center"/>
        <w:rPr>
          <w:rFonts w:ascii="Times New Roman" w:hAnsi="Times New Roman" w:cs="Times New Roman"/>
          <w:b/>
          <w:bCs/>
          <w:sz w:val="28"/>
          <w:szCs w:val="28"/>
          <w:lang w:val="uk-UA"/>
        </w:rPr>
      </w:pPr>
    </w:p>
    <w:p w:rsidR="00CD57C5" w:rsidRPr="007159B9" w:rsidRDefault="00856B7E" w:rsidP="008C4E03">
      <w:pPr>
        <w:pStyle w:val="a4"/>
        <w:numPr>
          <w:ilvl w:val="0"/>
          <w:numId w:val="3"/>
        </w:numPr>
        <w:spacing w:after="0" w:line="240" w:lineRule="auto"/>
        <w:jc w:val="both"/>
        <w:rPr>
          <w:rFonts w:ascii="Times New Roman" w:hAnsi="Times New Roman" w:cs="Times New Roman"/>
          <w:b/>
          <w:bCs/>
          <w:sz w:val="28"/>
          <w:szCs w:val="28"/>
          <w:lang w:val="uk-UA"/>
        </w:rPr>
      </w:pPr>
      <w:r w:rsidRPr="007159B9">
        <w:rPr>
          <w:rFonts w:ascii="Times New Roman" w:hAnsi="Times New Roman" w:cs="Times New Roman"/>
          <w:b/>
          <w:bCs/>
          <w:sz w:val="28"/>
          <w:szCs w:val="28"/>
          <w:lang w:val="uk-UA"/>
        </w:rPr>
        <w:t>Економічна безпека як критерій ефективності економічної стратегії держави</w:t>
      </w:r>
      <w:r w:rsidR="004045CE" w:rsidRPr="007159B9">
        <w:rPr>
          <w:rFonts w:ascii="Times New Roman" w:hAnsi="Times New Roman" w:cs="Times New Roman"/>
          <w:b/>
          <w:bCs/>
          <w:sz w:val="28"/>
          <w:szCs w:val="28"/>
          <w:lang w:val="uk-UA"/>
        </w:rPr>
        <w:t xml:space="preserve">. </w:t>
      </w:r>
      <w:r w:rsidR="00627AFB" w:rsidRPr="007159B9">
        <w:rPr>
          <w:rFonts w:ascii="Times New Roman" w:hAnsi="Times New Roman" w:cs="Times New Roman"/>
          <w:b/>
          <w:bCs/>
          <w:sz w:val="28"/>
          <w:szCs w:val="28"/>
          <w:lang w:val="uk-UA"/>
        </w:rPr>
        <w:t xml:space="preserve">Основні компоненти </w:t>
      </w:r>
      <w:r w:rsidR="004045CE" w:rsidRPr="007159B9">
        <w:rPr>
          <w:rFonts w:ascii="Times New Roman" w:hAnsi="Times New Roman" w:cs="Times New Roman"/>
          <w:b/>
          <w:bCs/>
          <w:sz w:val="28"/>
          <w:szCs w:val="28"/>
          <w:lang w:val="uk-UA"/>
        </w:rPr>
        <w:t>економічної</w:t>
      </w:r>
      <w:r w:rsidR="00627AFB" w:rsidRPr="007159B9">
        <w:rPr>
          <w:rFonts w:ascii="Times New Roman" w:hAnsi="Times New Roman" w:cs="Times New Roman"/>
          <w:b/>
          <w:bCs/>
          <w:sz w:val="28"/>
          <w:szCs w:val="28"/>
          <w:lang w:val="uk-UA"/>
        </w:rPr>
        <w:t xml:space="preserve"> безпеки</w:t>
      </w:r>
      <w:r w:rsidR="004045CE" w:rsidRPr="007159B9">
        <w:rPr>
          <w:rFonts w:ascii="Times New Roman" w:hAnsi="Times New Roman" w:cs="Times New Roman"/>
          <w:b/>
          <w:bCs/>
          <w:sz w:val="28"/>
          <w:szCs w:val="28"/>
          <w:lang w:val="uk-UA"/>
        </w:rPr>
        <w:t>.</w:t>
      </w:r>
    </w:p>
    <w:p w:rsidR="00627AFB" w:rsidRPr="007159B9" w:rsidRDefault="00627AFB" w:rsidP="008C4E03">
      <w:pPr>
        <w:pStyle w:val="a4"/>
        <w:numPr>
          <w:ilvl w:val="0"/>
          <w:numId w:val="3"/>
        </w:numPr>
        <w:spacing w:after="0" w:line="240" w:lineRule="auto"/>
        <w:jc w:val="both"/>
        <w:rPr>
          <w:rFonts w:ascii="Times New Roman" w:hAnsi="Times New Roman" w:cs="Times New Roman"/>
          <w:b/>
          <w:bCs/>
          <w:sz w:val="28"/>
          <w:szCs w:val="28"/>
          <w:lang w:val="uk-UA"/>
        </w:rPr>
      </w:pPr>
      <w:r w:rsidRPr="007159B9">
        <w:rPr>
          <w:rFonts w:ascii="Times New Roman" w:hAnsi="Times New Roman" w:cs="Times New Roman"/>
          <w:b/>
          <w:bCs/>
          <w:sz w:val="28"/>
          <w:szCs w:val="28"/>
          <w:lang w:val="uk-UA"/>
        </w:rPr>
        <w:t>Безпека підприємства</w:t>
      </w:r>
    </w:p>
    <w:p w:rsidR="00073BFD" w:rsidRPr="007159B9" w:rsidRDefault="00073BFD" w:rsidP="008C4E03">
      <w:pPr>
        <w:spacing w:after="0" w:line="240" w:lineRule="auto"/>
        <w:rPr>
          <w:rFonts w:ascii="Times New Roman" w:hAnsi="Times New Roman" w:cs="Times New Roman"/>
          <w:b/>
          <w:bCs/>
          <w:sz w:val="28"/>
          <w:szCs w:val="28"/>
          <w:lang w:val="uk-UA"/>
        </w:rPr>
      </w:pPr>
    </w:p>
    <w:p w:rsidR="00882103" w:rsidRPr="007159B9" w:rsidRDefault="004045CE" w:rsidP="008C4E03">
      <w:pPr>
        <w:spacing w:after="0" w:line="360" w:lineRule="auto"/>
        <w:rPr>
          <w:rFonts w:ascii="Times New Roman" w:hAnsi="Times New Roman" w:cs="Times New Roman"/>
          <w:b/>
          <w:bCs/>
          <w:sz w:val="28"/>
          <w:szCs w:val="28"/>
          <w:lang w:val="uk-UA"/>
        </w:rPr>
      </w:pPr>
      <w:r w:rsidRPr="007159B9">
        <w:rPr>
          <w:rFonts w:ascii="Times New Roman" w:hAnsi="Times New Roman" w:cs="Times New Roman"/>
          <w:b/>
          <w:bCs/>
          <w:sz w:val="28"/>
          <w:szCs w:val="28"/>
          <w:lang w:val="uk-UA"/>
        </w:rPr>
        <w:t>ВСТУП</w:t>
      </w:r>
    </w:p>
    <w:p w:rsidR="00882103" w:rsidRPr="007159B9" w:rsidRDefault="00882103" w:rsidP="008C4E03">
      <w:pPr>
        <w:spacing w:after="0" w:line="360" w:lineRule="auto"/>
        <w:ind w:firstLine="709"/>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Загалом геополітична обстановка у світі характеризується такими</w:t>
      </w:r>
      <w:r w:rsidR="008C4E03">
        <w:rPr>
          <w:rFonts w:ascii="Times New Roman" w:hAnsi="Times New Roman" w:cs="Times New Roman"/>
          <w:sz w:val="28"/>
          <w:szCs w:val="28"/>
          <w:lang w:val="uk-UA"/>
        </w:rPr>
        <w:t xml:space="preserve"> </w:t>
      </w:r>
      <w:r w:rsidRPr="008C4E03">
        <w:rPr>
          <w:rFonts w:ascii="Times New Roman" w:hAnsi="Times New Roman" w:cs="Times New Roman"/>
          <w:b/>
          <w:sz w:val="28"/>
          <w:szCs w:val="28"/>
          <w:lang w:val="uk-UA"/>
        </w:rPr>
        <w:t>тенденціями:</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поглибленням взаємозалежності держав в умовах глобалізації світової економіки;</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постійно зростаючим економічним розривом, який набуває незворотногохарактеру, між країнами з високорозвиненою економікою та більшістюінших країн світу;</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реструктуризацією та оптимізацією оновленої архітектури міжнароднихвідносин, що здійснюються під впливом процесів глобалізації;</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зростанням ролі міжнародних організацій і наднаціональних інститутів;</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завершенням основних інтеграційних процесів країн Західної та СхідноїЄвропи з перспективою розширення Європейського союзу;</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активним намаганням Китаю зайняти провідні позиції на міжнароднійарені, насамперед в азійсько-тихоокеанському регіоні;</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намаганням Росії відновити власні економічний, технологічний,соціокультурний і воєнно-політичний потенціали, щоб закріпити своєположення як геополітичного центру Євразії;</w:t>
      </w:r>
    </w:p>
    <w:p w:rsidR="00882103" w:rsidRPr="007159B9" w:rsidRDefault="00882103" w:rsidP="008C4E03">
      <w:pPr>
        <w:pStyle w:val="a4"/>
        <w:numPr>
          <w:ilvl w:val="0"/>
          <w:numId w:val="6"/>
        </w:numPr>
        <w:spacing w:after="0" w:line="360" w:lineRule="auto"/>
        <w:ind w:left="0" w:firstLine="360"/>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намаганням США зберегти світове лідерство в економічній, науково-технологічній та воєнно-політичній сферах.</w:t>
      </w:r>
    </w:p>
    <w:p w:rsidR="00882103" w:rsidRPr="007159B9" w:rsidRDefault="00882103" w:rsidP="008C4E03">
      <w:pPr>
        <w:spacing w:after="0" w:line="360" w:lineRule="auto"/>
        <w:rPr>
          <w:rFonts w:ascii="Times New Roman" w:hAnsi="Times New Roman" w:cs="Times New Roman"/>
          <w:b/>
          <w:bCs/>
          <w:sz w:val="28"/>
          <w:szCs w:val="28"/>
          <w:lang w:val="uk-UA"/>
        </w:rPr>
      </w:pPr>
    </w:p>
    <w:p w:rsidR="00856B7E" w:rsidRPr="007159B9" w:rsidRDefault="00D76211" w:rsidP="008C4E03">
      <w:pPr>
        <w:spacing w:after="0" w:line="360" w:lineRule="auto"/>
        <w:rPr>
          <w:rFonts w:ascii="Times New Roman" w:hAnsi="Times New Roman" w:cs="Times New Roman"/>
          <w:b/>
          <w:bCs/>
          <w:sz w:val="28"/>
          <w:szCs w:val="28"/>
          <w:lang w:val="uk-UA"/>
        </w:rPr>
      </w:pPr>
      <w:r w:rsidRPr="007159B9">
        <w:rPr>
          <w:rFonts w:ascii="Times New Roman" w:hAnsi="Times New Roman" w:cs="Times New Roman"/>
          <w:b/>
          <w:bCs/>
          <w:sz w:val="28"/>
          <w:szCs w:val="28"/>
          <w:lang w:val="uk-UA"/>
        </w:rPr>
        <w:t>ПИТАННЯ 1.</w:t>
      </w:r>
    </w:p>
    <w:p w:rsidR="00630337" w:rsidRPr="007159B9" w:rsidRDefault="000847D1" w:rsidP="008C4E03">
      <w:pPr>
        <w:spacing w:after="0" w:line="360" w:lineRule="auto"/>
        <w:ind w:firstLine="709"/>
        <w:jc w:val="both"/>
        <w:rPr>
          <w:rFonts w:ascii="Times New Roman" w:hAnsi="Times New Roman" w:cs="Times New Roman"/>
          <w:color w:val="333333"/>
          <w:sz w:val="28"/>
          <w:szCs w:val="28"/>
          <w:lang w:val="uk-UA"/>
        </w:rPr>
      </w:pPr>
      <w:r w:rsidRPr="007159B9">
        <w:rPr>
          <w:rFonts w:ascii="Times New Roman" w:hAnsi="Times New Roman" w:cs="Times New Roman"/>
          <w:color w:val="333333"/>
          <w:sz w:val="28"/>
          <w:szCs w:val="28"/>
          <w:lang w:val="uk-UA"/>
        </w:rPr>
        <w:t xml:space="preserve">Оскiльки матерiальною основою функцiонування суспiльства є </w:t>
      </w:r>
      <w:r w:rsidR="00630337" w:rsidRPr="007159B9">
        <w:rPr>
          <w:rFonts w:ascii="Times New Roman" w:hAnsi="Times New Roman" w:cs="Times New Roman"/>
          <w:color w:val="333333"/>
          <w:sz w:val="28"/>
          <w:szCs w:val="28"/>
          <w:lang w:val="uk-UA"/>
        </w:rPr>
        <w:t>продуктивні</w:t>
      </w:r>
      <w:r w:rsidRPr="007159B9">
        <w:rPr>
          <w:rFonts w:ascii="Times New Roman" w:hAnsi="Times New Roman" w:cs="Times New Roman"/>
          <w:color w:val="333333"/>
          <w:sz w:val="28"/>
          <w:szCs w:val="28"/>
          <w:lang w:val="uk-UA"/>
        </w:rPr>
        <w:t xml:space="preserve"> сили, нацiональна безпека будь-якої держави у </w:t>
      </w:r>
      <w:r w:rsidR="00630337" w:rsidRPr="007159B9">
        <w:rPr>
          <w:rFonts w:ascii="Times New Roman" w:hAnsi="Times New Roman" w:cs="Times New Roman"/>
          <w:color w:val="333333"/>
          <w:sz w:val="28"/>
          <w:szCs w:val="28"/>
          <w:lang w:val="uk-UA"/>
        </w:rPr>
        <w:t>стратегічному</w:t>
      </w:r>
      <w:r w:rsidRPr="007159B9">
        <w:rPr>
          <w:rFonts w:ascii="Times New Roman" w:hAnsi="Times New Roman" w:cs="Times New Roman"/>
          <w:color w:val="333333"/>
          <w:sz w:val="28"/>
          <w:szCs w:val="28"/>
          <w:lang w:val="uk-UA"/>
        </w:rPr>
        <w:t xml:space="preserve"> </w:t>
      </w:r>
      <w:r w:rsidRPr="007159B9">
        <w:rPr>
          <w:rFonts w:ascii="Times New Roman" w:hAnsi="Times New Roman" w:cs="Times New Roman"/>
          <w:color w:val="333333"/>
          <w:sz w:val="28"/>
          <w:szCs w:val="28"/>
          <w:lang w:val="uk-UA"/>
        </w:rPr>
        <w:lastRenderedPageBreak/>
        <w:t>планi спирається передусім на її економiчний потенцiал i набуває вигляду економiчної безпеки.</w:t>
      </w:r>
    </w:p>
    <w:p w:rsidR="00D7621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Методичні рекомендації щодо розрахунку рівня економічної безпеки України </w:t>
      </w:r>
      <w:r w:rsidR="00630337" w:rsidRPr="007159B9">
        <w:rPr>
          <w:rFonts w:ascii="Times New Roman" w:eastAsia="Times New Roman" w:hAnsi="Times New Roman" w:cs="Times New Roman"/>
          <w:sz w:val="28"/>
          <w:szCs w:val="28"/>
          <w:lang w:val="uk-UA" w:eastAsia="ru-RU"/>
        </w:rPr>
        <w:t xml:space="preserve">(№ 60 від 02.03.2007 р.) </w:t>
      </w:r>
      <w:r w:rsidRPr="007159B9">
        <w:rPr>
          <w:rFonts w:ascii="Times New Roman" w:eastAsia="Times New Roman" w:hAnsi="Times New Roman" w:cs="Times New Roman"/>
          <w:sz w:val="28"/>
          <w:szCs w:val="28"/>
          <w:lang w:val="uk-UA" w:eastAsia="ru-RU"/>
        </w:rPr>
        <w:t xml:space="preserve">базуються на визначенні й аналізі значень окремих індикаторів за кожною складовою економічної безпеки з метою виявлення потенційних загроз економічній безпеці України.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Постійний аналіз і контроль порогових значень індикаторів економічної безпеки має забезпечувати своєчасне прийняття управлінських рішень щодо запобігання та попередження реальних і потенційних загроз економічним інтересам у відповідній сфері.</w:t>
      </w:r>
    </w:p>
    <w:p w:rsidR="008C4E03" w:rsidRDefault="008C4E03" w:rsidP="008C4E03">
      <w:pPr>
        <w:spacing w:after="0" w:line="360" w:lineRule="auto"/>
        <w:contextualSpacing/>
        <w:jc w:val="center"/>
        <w:rPr>
          <w:rFonts w:ascii="Times New Roman" w:eastAsia="Times New Roman" w:hAnsi="Times New Roman" w:cs="Times New Roman"/>
          <w:b/>
          <w:bCs/>
          <w:sz w:val="28"/>
          <w:szCs w:val="28"/>
          <w:lang w:val="uk-UA" w:eastAsia="ru-RU"/>
        </w:rPr>
      </w:pPr>
    </w:p>
    <w:p w:rsidR="00D76211" w:rsidRPr="007159B9" w:rsidRDefault="00D76211" w:rsidP="008C4E03">
      <w:pPr>
        <w:spacing w:after="0" w:line="360" w:lineRule="auto"/>
        <w:contextualSpacing/>
        <w:jc w:val="center"/>
        <w:rPr>
          <w:rFonts w:ascii="Times New Roman" w:eastAsia="Times New Roman" w:hAnsi="Times New Roman" w:cs="Times New Roman"/>
          <w:b/>
          <w:bCs/>
          <w:sz w:val="28"/>
          <w:szCs w:val="28"/>
          <w:lang w:val="en-US" w:eastAsia="ru-RU"/>
        </w:rPr>
      </w:pPr>
      <w:r w:rsidRPr="007159B9">
        <w:rPr>
          <w:rFonts w:ascii="Times New Roman" w:eastAsia="Times New Roman" w:hAnsi="Times New Roman" w:cs="Times New Roman"/>
          <w:b/>
          <w:bCs/>
          <w:sz w:val="28"/>
          <w:szCs w:val="28"/>
          <w:lang w:val="uk-UA" w:eastAsia="ru-RU"/>
        </w:rPr>
        <w:t>ТЕРМІНОЛОГІЯ</w:t>
      </w:r>
    </w:p>
    <w:p w:rsidR="003969EB" w:rsidRPr="007159B9" w:rsidRDefault="00D76211" w:rsidP="008C4E03">
      <w:pPr>
        <w:pStyle w:val="a4"/>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t>економічна безпека</w:t>
      </w:r>
      <w:r w:rsidR="008C4E03">
        <w:rPr>
          <w:rFonts w:ascii="Times New Roman" w:eastAsia="Times New Roman" w:hAnsi="Times New Roman" w:cs="Times New Roman"/>
          <w:b/>
          <w:bCs/>
          <w:sz w:val="28"/>
          <w:szCs w:val="28"/>
          <w:lang w:val="uk-UA" w:eastAsia="ru-RU"/>
        </w:rPr>
        <w:t xml:space="preserve"> </w:t>
      </w:r>
      <w:r w:rsidR="003969EB"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стан національної економіки, </w:t>
      </w:r>
      <w:r w:rsidRPr="007159B9">
        <w:rPr>
          <w:rFonts w:ascii="Times New Roman" w:eastAsia="Times New Roman" w:hAnsi="Times New Roman" w:cs="Times New Roman"/>
          <w:sz w:val="28"/>
          <w:szCs w:val="28"/>
          <w:lang w:val="uk-UA" w:eastAsia="ru-RU"/>
        </w:rPr>
        <w:br/>
        <w:t xml:space="preserve">який дає змогу зберігати  стійкість  до  внутрішніх  та  зовнішніх </w:t>
      </w:r>
      <w:r w:rsidRPr="007159B9">
        <w:rPr>
          <w:rFonts w:ascii="Times New Roman" w:eastAsia="Times New Roman" w:hAnsi="Times New Roman" w:cs="Times New Roman"/>
          <w:sz w:val="28"/>
          <w:szCs w:val="28"/>
          <w:lang w:val="uk-UA" w:eastAsia="ru-RU"/>
        </w:rPr>
        <w:br/>
        <w:t xml:space="preserve">загроз і здатний задовольняти потреби особи, сім'ї, суспільства та </w:t>
      </w:r>
      <w:r w:rsidRPr="007159B9">
        <w:rPr>
          <w:rFonts w:ascii="Times New Roman" w:eastAsia="Times New Roman" w:hAnsi="Times New Roman" w:cs="Times New Roman"/>
          <w:sz w:val="28"/>
          <w:szCs w:val="28"/>
          <w:lang w:val="uk-UA" w:eastAsia="ru-RU"/>
        </w:rPr>
        <w:br/>
        <w:t>держави;</w:t>
      </w:r>
      <w:bookmarkStart w:id="0" w:name="o18"/>
      <w:bookmarkEnd w:id="0"/>
    </w:p>
    <w:p w:rsidR="003969EB" w:rsidRPr="007159B9" w:rsidRDefault="00D76211" w:rsidP="008C4E03">
      <w:pPr>
        <w:pStyle w:val="a4"/>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t>загрози економічній  безпеці  України</w:t>
      </w:r>
      <w:r w:rsidR="003969EB"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сукупність наявних </w:t>
      </w:r>
      <w:r w:rsidRPr="007159B9">
        <w:rPr>
          <w:rFonts w:ascii="Times New Roman" w:eastAsia="Times New Roman" w:hAnsi="Times New Roman" w:cs="Times New Roman"/>
          <w:sz w:val="28"/>
          <w:szCs w:val="28"/>
          <w:lang w:val="uk-UA" w:eastAsia="ru-RU"/>
        </w:rPr>
        <w:br/>
        <w:t>та потенційно можливих явищ і чинників, що створюють небезпеку для реалізації національних інтересів у економічній сфері;</w:t>
      </w:r>
      <w:bookmarkStart w:id="1" w:name="o19"/>
      <w:bookmarkEnd w:id="1"/>
    </w:p>
    <w:p w:rsidR="003969EB" w:rsidRPr="007159B9" w:rsidRDefault="00D76211" w:rsidP="008C4E03">
      <w:pPr>
        <w:pStyle w:val="a4"/>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критерії економічної  безпеки </w:t>
      </w:r>
      <w:r w:rsidR="003969EB"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реальні статистичні </w:t>
      </w:r>
      <w:r w:rsidRPr="007159B9">
        <w:rPr>
          <w:rFonts w:ascii="Times New Roman" w:eastAsia="Times New Roman" w:hAnsi="Times New Roman" w:cs="Times New Roman"/>
          <w:sz w:val="28"/>
          <w:szCs w:val="28"/>
          <w:lang w:val="uk-UA" w:eastAsia="ru-RU"/>
        </w:rPr>
        <w:br/>
        <w:t>показники,  за  якими здійснюється оцінка стану економіки країни з точки зору забезпечення її сталого розвитку;</w:t>
      </w:r>
      <w:bookmarkStart w:id="2" w:name="o20"/>
      <w:bookmarkEnd w:id="2"/>
    </w:p>
    <w:p w:rsidR="003969EB" w:rsidRPr="007159B9" w:rsidRDefault="00D76211" w:rsidP="008C4E03">
      <w:pPr>
        <w:pStyle w:val="a4"/>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індикатори економічної   безпеки </w:t>
      </w:r>
      <w:r w:rsidR="003969EB"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реальні  статистичні </w:t>
      </w:r>
      <w:r w:rsidRPr="007159B9">
        <w:rPr>
          <w:rFonts w:ascii="Times New Roman" w:eastAsia="Times New Roman" w:hAnsi="Times New Roman" w:cs="Times New Roman"/>
          <w:sz w:val="28"/>
          <w:szCs w:val="28"/>
          <w:lang w:val="uk-UA" w:eastAsia="ru-RU"/>
        </w:rPr>
        <w:br/>
        <w:t xml:space="preserve">показники  розвитку   економіки   країни,   які   найбільш   повно </w:t>
      </w:r>
      <w:r w:rsidRPr="007159B9">
        <w:rPr>
          <w:rFonts w:ascii="Times New Roman" w:eastAsia="Times New Roman" w:hAnsi="Times New Roman" w:cs="Times New Roman"/>
          <w:sz w:val="28"/>
          <w:szCs w:val="28"/>
          <w:lang w:val="uk-UA" w:eastAsia="ru-RU"/>
        </w:rPr>
        <w:br/>
        <w:t>характеризують явища і тенденції в економічній сфері;</w:t>
      </w:r>
      <w:bookmarkStart w:id="3" w:name="o21"/>
      <w:bookmarkEnd w:id="3"/>
    </w:p>
    <w:p w:rsidR="003969EB" w:rsidRPr="007159B9" w:rsidRDefault="00D76211" w:rsidP="008C4E03">
      <w:pPr>
        <w:pStyle w:val="a4"/>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оптимальні значення індикаторів </w:t>
      </w:r>
      <w:r w:rsidR="003969EB"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інтервал  величин,  у </w:t>
      </w:r>
      <w:r w:rsidRPr="007159B9">
        <w:rPr>
          <w:rFonts w:ascii="Times New Roman" w:eastAsia="Times New Roman" w:hAnsi="Times New Roman" w:cs="Times New Roman"/>
          <w:sz w:val="28"/>
          <w:szCs w:val="28"/>
          <w:lang w:val="uk-UA" w:eastAsia="ru-RU"/>
        </w:rPr>
        <w:br/>
        <w:t>межах яких створюються найбільш сприятливі умови для відтворюваних процесів в економіці;</w:t>
      </w:r>
      <w:bookmarkStart w:id="4" w:name="o22"/>
      <w:bookmarkEnd w:id="4"/>
    </w:p>
    <w:p w:rsidR="003969EB" w:rsidRPr="007159B9" w:rsidRDefault="00D76211" w:rsidP="008C4E03">
      <w:pPr>
        <w:pStyle w:val="a4"/>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порогові значення   індикаторів </w:t>
      </w:r>
      <w:r w:rsidR="003969EB"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кількісні  величини, </w:t>
      </w:r>
      <w:r w:rsidRPr="007159B9">
        <w:rPr>
          <w:rFonts w:ascii="Times New Roman" w:eastAsia="Times New Roman" w:hAnsi="Times New Roman" w:cs="Times New Roman"/>
          <w:sz w:val="28"/>
          <w:szCs w:val="28"/>
          <w:lang w:val="uk-UA" w:eastAsia="ru-RU"/>
        </w:rPr>
        <w:br/>
        <w:t>порушення яких викликає несприятливі тенденції в економіці;</w:t>
      </w:r>
      <w:bookmarkStart w:id="5" w:name="o23"/>
      <w:bookmarkEnd w:id="5"/>
    </w:p>
    <w:p w:rsidR="00D76211" w:rsidRPr="007159B9" w:rsidRDefault="00D76211" w:rsidP="008C4E03">
      <w:pPr>
        <w:pStyle w:val="a4"/>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lastRenderedPageBreak/>
        <w:t xml:space="preserve">граничні значення   індикаторів- це кількісні величини, </w:t>
      </w:r>
      <w:r w:rsidRPr="007159B9">
        <w:rPr>
          <w:rFonts w:ascii="Times New Roman" w:eastAsia="Times New Roman" w:hAnsi="Times New Roman" w:cs="Times New Roman"/>
          <w:sz w:val="28"/>
          <w:szCs w:val="28"/>
          <w:lang w:val="uk-UA" w:eastAsia="ru-RU"/>
        </w:rPr>
        <w:br/>
        <w:t>порушення яких викликає загрозливі процеси в економіці.</w:t>
      </w:r>
    </w:p>
    <w:p w:rsidR="00F45963" w:rsidRPr="007159B9" w:rsidRDefault="00D76211" w:rsidP="008C4E03">
      <w:pPr>
        <w:spacing w:after="0" w:line="360" w:lineRule="auto"/>
        <w:ind w:firstLine="709"/>
        <w:contextualSpacing/>
        <w:jc w:val="center"/>
        <w:rPr>
          <w:rFonts w:ascii="Times New Roman" w:eastAsia="Times New Roman" w:hAnsi="Times New Roman" w:cs="Times New Roman"/>
          <w:b/>
          <w:bCs/>
          <w:i/>
          <w:iCs/>
          <w:sz w:val="28"/>
          <w:szCs w:val="28"/>
          <w:lang w:val="uk-UA" w:eastAsia="ru-RU"/>
        </w:rPr>
      </w:pPr>
      <w:bookmarkStart w:id="6" w:name="o24"/>
      <w:bookmarkEnd w:id="6"/>
      <w:r w:rsidRPr="007159B9">
        <w:rPr>
          <w:rFonts w:ascii="Times New Roman" w:eastAsia="Times New Roman" w:hAnsi="Times New Roman" w:cs="Times New Roman"/>
          <w:b/>
          <w:bCs/>
          <w:i/>
          <w:iCs/>
          <w:sz w:val="28"/>
          <w:szCs w:val="28"/>
          <w:lang w:val="uk-UA" w:eastAsia="ru-RU"/>
        </w:rPr>
        <w:t>Складовими економічної безпеки є:</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макроекономічна,</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фінансова,</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зовнішньоекономічна,</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інвестиційна,</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науково-технологічна, </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енергетична,</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виробнича,</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демографічна,</w:t>
      </w:r>
    </w:p>
    <w:p w:rsidR="00F45963" w:rsidRPr="007159B9" w:rsidRDefault="00F45963"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с</w:t>
      </w:r>
      <w:r w:rsidR="00D76211" w:rsidRPr="007159B9">
        <w:rPr>
          <w:rFonts w:ascii="Times New Roman" w:eastAsia="Times New Roman" w:hAnsi="Times New Roman" w:cs="Times New Roman"/>
          <w:sz w:val="28"/>
          <w:szCs w:val="28"/>
          <w:lang w:val="uk-UA" w:eastAsia="ru-RU"/>
        </w:rPr>
        <w:t>оціальна,</w:t>
      </w:r>
    </w:p>
    <w:p w:rsidR="00F45963" w:rsidRPr="007159B9" w:rsidRDefault="00D76211" w:rsidP="008C4E03">
      <w:pPr>
        <w:pStyle w:val="a4"/>
        <w:numPr>
          <w:ilvl w:val="0"/>
          <w:numId w:val="8"/>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продовольча безпека.</w:t>
      </w:r>
      <w:bookmarkStart w:id="7" w:name="o25"/>
      <w:bookmarkEnd w:id="7"/>
    </w:p>
    <w:p w:rsidR="00F45963" w:rsidRPr="007159B9" w:rsidRDefault="00D7621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t>Макроекономічна безпека</w:t>
      </w:r>
      <w:r w:rsidR="008C4E03">
        <w:rPr>
          <w:rFonts w:ascii="Times New Roman" w:eastAsia="Times New Roman" w:hAnsi="Times New Roman" w:cs="Times New Roman"/>
          <w:b/>
          <w:bCs/>
          <w:sz w:val="28"/>
          <w:szCs w:val="28"/>
          <w:lang w:val="uk-UA" w:eastAsia="ru-RU"/>
        </w:rPr>
        <w:t xml:space="preserve"> </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стан економіки,  при  якому </w:t>
      </w:r>
      <w:r w:rsidRPr="007159B9">
        <w:rPr>
          <w:rFonts w:ascii="Times New Roman" w:eastAsia="Times New Roman" w:hAnsi="Times New Roman" w:cs="Times New Roman"/>
          <w:sz w:val="28"/>
          <w:szCs w:val="28"/>
          <w:lang w:val="uk-UA" w:eastAsia="ru-RU"/>
        </w:rPr>
        <w:br/>
        <w:t xml:space="preserve">досягається   збалансованість   макроекономічних   відтворювальних </w:t>
      </w:r>
      <w:r w:rsidRPr="007159B9">
        <w:rPr>
          <w:rFonts w:ascii="Times New Roman" w:eastAsia="Times New Roman" w:hAnsi="Times New Roman" w:cs="Times New Roman"/>
          <w:sz w:val="28"/>
          <w:szCs w:val="28"/>
          <w:lang w:val="uk-UA" w:eastAsia="ru-RU"/>
        </w:rPr>
        <w:br/>
        <w:t>пропорцій.</w:t>
      </w:r>
      <w:bookmarkStart w:id="8" w:name="o26"/>
      <w:bookmarkEnd w:id="8"/>
    </w:p>
    <w:p w:rsidR="00D76211" w:rsidRPr="007159B9" w:rsidRDefault="00D7621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t>Фінансова безпека</w:t>
      </w:r>
      <w:r w:rsidR="008C4E03">
        <w:rPr>
          <w:rFonts w:ascii="Times New Roman" w:eastAsia="Times New Roman" w:hAnsi="Times New Roman" w:cs="Times New Roman"/>
          <w:b/>
          <w:bCs/>
          <w:sz w:val="28"/>
          <w:szCs w:val="28"/>
          <w:lang w:val="uk-UA" w:eastAsia="ru-RU"/>
        </w:rPr>
        <w:t xml:space="preserve"> </w:t>
      </w:r>
      <w:r w:rsidR="00F45963" w:rsidRPr="007159B9">
        <w:rPr>
          <w:rFonts w:ascii="Times New Roman" w:eastAsia="Times New Roman" w:hAnsi="Times New Roman" w:cs="Times New Roman"/>
          <w:sz w:val="28"/>
          <w:szCs w:val="28"/>
          <w:lang w:val="uk-UA" w:eastAsia="ru-RU"/>
        </w:rPr>
        <w:t xml:space="preserve">– </w:t>
      </w:r>
      <w:r w:rsidRPr="007159B9">
        <w:rPr>
          <w:rFonts w:ascii="Times New Roman" w:eastAsia="Times New Roman" w:hAnsi="Times New Roman" w:cs="Times New Roman"/>
          <w:sz w:val="28"/>
          <w:szCs w:val="28"/>
          <w:lang w:val="uk-UA" w:eastAsia="ru-RU"/>
        </w:rPr>
        <w:t xml:space="preserve">це такий стан бюджетної, </w:t>
      </w:r>
      <w:r w:rsidRPr="007159B9">
        <w:rPr>
          <w:rFonts w:ascii="Times New Roman" w:eastAsia="Times New Roman" w:hAnsi="Times New Roman" w:cs="Times New Roman"/>
          <w:sz w:val="28"/>
          <w:szCs w:val="28"/>
          <w:lang w:val="uk-UA" w:eastAsia="ru-RU"/>
        </w:rPr>
        <w:br/>
        <w:t>грошово</w:t>
      </w:r>
      <w:r w:rsidR="00F45963"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кредитної,  банківської,  валютної  системи  та  фінансових </w:t>
      </w:r>
      <w:r w:rsidRPr="007159B9">
        <w:rPr>
          <w:rFonts w:ascii="Times New Roman" w:eastAsia="Times New Roman" w:hAnsi="Times New Roman" w:cs="Times New Roman"/>
          <w:sz w:val="28"/>
          <w:szCs w:val="28"/>
          <w:lang w:val="uk-UA" w:eastAsia="ru-RU"/>
        </w:rPr>
        <w:br/>
        <w:t xml:space="preserve">ринків, який  характеризується   збалансованістю,   стійкістю   до </w:t>
      </w:r>
      <w:r w:rsidRPr="007159B9">
        <w:rPr>
          <w:rFonts w:ascii="Times New Roman" w:eastAsia="Times New Roman" w:hAnsi="Times New Roman" w:cs="Times New Roman"/>
          <w:sz w:val="28"/>
          <w:szCs w:val="28"/>
          <w:lang w:val="uk-UA" w:eastAsia="ru-RU"/>
        </w:rPr>
        <w:br/>
        <w:t xml:space="preserve">внутрішніх  і  зовнішніх негативних загроз,  здатністю забезпечити </w:t>
      </w:r>
      <w:r w:rsidRPr="007159B9">
        <w:rPr>
          <w:rFonts w:ascii="Times New Roman" w:eastAsia="Times New Roman" w:hAnsi="Times New Roman" w:cs="Times New Roman"/>
          <w:sz w:val="28"/>
          <w:szCs w:val="28"/>
          <w:lang w:val="uk-UA" w:eastAsia="ru-RU"/>
        </w:rPr>
        <w:br/>
        <w:t xml:space="preserve">ефективне  функціонування  національної  економічної  системи   та </w:t>
      </w:r>
      <w:r w:rsidRPr="007159B9">
        <w:rPr>
          <w:rFonts w:ascii="Times New Roman" w:eastAsia="Times New Roman" w:hAnsi="Times New Roman" w:cs="Times New Roman"/>
          <w:sz w:val="28"/>
          <w:szCs w:val="28"/>
          <w:lang w:val="uk-UA" w:eastAsia="ru-RU"/>
        </w:rPr>
        <w:br/>
        <w:t>економічне зростання.</w:t>
      </w:r>
    </w:p>
    <w:p w:rsidR="00D76211" w:rsidRPr="008C4E03" w:rsidRDefault="00D76211" w:rsidP="008C4E03">
      <w:pPr>
        <w:spacing w:after="0" w:line="360" w:lineRule="auto"/>
        <w:ind w:firstLine="708"/>
        <w:contextualSpacing/>
        <w:jc w:val="both"/>
        <w:rPr>
          <w:rFonts w:ascii="Times New Roman" w:eastAsia="Times New Roman" w:hAnsi="Times New Roman" w:cs="Times New Roman"/>
          <w:b/>
          <w:sz w:val="28"/>
          <w:szCs w:val="28"/>
          <w:lang w:val="uk-UA" w:eastAsia="ru-RU"/>
        </w:rPr>
      </w:pPr>
      <w:bookmarkStart w:id="9" w:name="o27"/>
      <w:bookmarkEnd w:id="9"/>
      <w:r w:rsidRPr="007159B9">
        <w:rPr>
          <w:rFonts w:ascii="Times New Roman" w:eastAsia="Times New Roman" w:hAnsi="Times New Roman" w:cs="Times New Roman"/>
          <w:b/>
          <w:bCs/>
          <w:sz w:val="28"/>
          <w:szCs w:val="28"/>
          <w:lang w:val="uk-UA" w:eastAsia="ru-RU"/>
        </w:rPr>
        <w:t>Фінансова безпека</w:t>
      </w:r>
      <w:r w:rsidRPr="007159B9">
        <w:rPr>
          <w:rFonts w:ascii="Times New Roman" w:eastAsia="Times New Roman" w:hAnsi="Times New Roman" w:cs="Times New Roman"/>
          <w:sz w:val="28"/>
          <w:szCs w:val="28"/>
          <w:lang w:val="uk-UA" w:eastAsia="ru-RU"/>
        </w:rPr>
        <w:t xml:space="preserve">, у свою чергу, </w:t>
      </w:r>
      <w:r w:rsidRPr="008C4E03">
        <w:rPr>
          <w:rFonts w:ascii="Times New Roman" w:eastAsia="Times New Roman" w:hAnsi="Times New Roman" w:cs="Times New Roman"/>
          <w:b/>
          <w:sz w:val="28"/>
          <w:szCs w:val="28"/>
          <w:lang w:val="uk-UA" w:eastAsia="ru-RU"/>
        </w:rPr>
        <w:t>містить такі складові:</w:t>
      </w:r>
    </w:p>
    <w:p w:rsidR="006F0C7D" w:rsidRPr="007159B9" w:rsidRDefault="00D76211" w:rsidP="008C4E03">
      <w:pPr>
        <w:pStyle w:val="a4"/>
        <w:numPr>
          <w:ilvl w:val="0"/>
          <w:numId w:val="9"/>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bookmarkStart w:id="10" w:name="o28"/>
      <w:bookmarkEnd w:id="10"/>
      <w:r w:rsidRPr="007159B9">
        <w:rPr>
          <w:rFonts w:ascii="Times New Roman" w:eastAsia="Times New Roman" w:hAnsi="Times New Roman" w:cs="Times New Roman"/>
          <w:b/>
          <w:bCs/>
          <w:i/>
          <w:iCs/>
          <w:sz w:val="28"/>
          <w:szCs w:val="28"/>
          <w:lang w:val="uk-UA" w:eastAsia="ru-RU"/>
        </w:rPr>
        <w:t>бюджетна безпека</w:t>
      </w:r>
      <w:r w:rsidR="008C4E03">
        <w:rPr>
          <w:rFonts w:ascii="Times New Roman" w:eastAsia="Times New Roman" w:hAnsi="Times New Roman" w:cs="Times New Roman"/>
          <w:b/>
          <w:bCs/>
          <w:i/>
          <w:iCs/>
          <w:sz w:val="28"/>
          <w:szCs w:val="28"/>
          <w:lang w:val="uk-UA" w:eastAsia="ru-RU"/>
        </w:rPr>
        <w:t xml:space="preserve"> </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стан  забезпечення платоспроможності </w:t>
      </w:r>
      <w:r w:rsidRPr="007159B9">
        <w:rPr>
          <w:rFonts w:ascii="Times New Roman" w:eastAsia="Times New Roman" w:hAnsi="Times New Roman" w:cs="Times New Roman"/>
          <w:sz w:val="28"/>
          <w:szCs w:val="28"/>
          <w:lang w:val="uk-UA" w:eastAsia="ru-RU"/>
        </w:rPr>
        <w:br/>
        <w:t xml:space="preserve">держави з урахуванням балансу  доходів  і  видатків  державного  й </w:t>
      </w:r>
      <w:r w:rsidRPr="007159B9">
        <w:rPr>
          <w:rFonts w:ascii="Times New Roman" w:eastAsia="Times New Roman" w:hAnsi="Times New Roman" w:cs="Times New Roman"/>
          <w:sz w:val="28"/>
          <w:szCs w:val="28"/>
          <w:lang w:val="uk-UA" w:eastAsia="ru-RU"/>
        </w:rPr>
        <w:br/>
        <w:t>місцевих бюджетів та ефективності використання бюджетних коштів;</w:t>
      </w:r>
      <w:bookmarkStart w:id="11" w:name="o29"/>
      <w:bookmarkEnd w:id="11"/>
    </w:p>
    <w:p w:rsidR="006F0C7D" w:rsidRPr="007159B9" w:rsidRDefault="00D76211" w:rsidP="008C4E03">
      <w:pPr>
        <w:pStyle w:val="a4"/>
        <w:numPr>
          <w:ilvl w:val="0"/>
          <w:numId w:val="9"/>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i/>
          <w:iCs/>
          <w:sz w:val="28"/>
          <w:szCs w:val="28"/>
          <w:lang w:val="uk-UA" w:eastAsia="ru-RU"/>
        </w:rPr>
        <w:t>валютна безпека</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стан курсоутворення,  який створює </w:t>
      </w:r>
      <w:r w:rsidRPr="007159B9">
        <w:rPr>
          <w:rFonts w:ascii="Times New Roman" w:eastAsia="Times New Roman" w:hAnsi="Times New Roman" w:cs="Times New Roman"/>
          <w:sz w:val="28"/>
          <w:szCs w:val="28"/>
          <w:lang w:val="uk-UA" w:eastAsia="ru-RU"/>
        </w:rPr>
        <w:br/>
        <w:t xml:space="preserve">оптимальні умови для поступального розвитку вітчизняного експорту,безперешкодного припливу в країну іноземних інвестицій, </w:t>
      </w:r>
      <w:r w:rsidRPr="007159B9">
        <w:rPr>
          <w:rFonts w:ascii="Times New Roman" w:eastAsia="Times New Roman" w:hAnsi="Times New Roman" w:cs="Times New Roman"/>
          <w:sz w:val="28"/>
          <w:szCs w:val="28"/>
          <w:lang w:val="uk-UA" w:eastAsia="ru-RU"/>
        </w:rPr>
        <w:lastRenderedPageBreak/>
        <w:t>інтеграції України  до  світової  економічної  системи,  а  також максимально захищає від потрясінь на міжнародних валютних ринках;</w:t>
      </w:r>
      <w:bookmarkStart w:id="12" w:name="o30"/>
      <w:bookmarkEnd w:id="12"/>
    </w:p>
    <w:p w:rsidR="006F0C7D" w:rsidRPr="007159B9" w:rsidRDefault="00D76211" w:rsidP="008C4E03">
      <w:pPr>
        <w:pStyle w:val="a4"/>
        <w:numPr>
          <w:ilvl w:val="0"/>
          <w:numId w:val="9"/>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i/>
          <w:iCs/>
          <w:sz w:val="28"/>
          <w:szCs w:val="28"/>
          <w:lang w:val="uk-UA" w:eastAsia="ru-RU"/>
        </w:rPr>
        <w:t>грошово-кредитна безпека</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стан грошово-кредитної </w:t>
      </w:r>
      <w:r w:rsidRPr="007159B9">
        <w:rPr>
          <w:rFonts w:ascii="Times New Roman" w:eastAsia="Times New Roman" w:hAnsi="Times New Roman" w:cs="Times New Roman"/>
          <w:sz w:val="28"/>
          <w:szCs w:val="28"/>
          <w:lang w:val="uk-UA" w:eastAsia="ru-RU"/>
        </w:rPr>
        <w:br/>
        <w:t xml:space="preserve">системи,  який  характеризується  стабільністю  грошової  одиниці, </w:t>
      </w:r>
      <w:r w:rsidRPr="007159B9">
        <w:rPr>
          <w:rFonts w:ascii="Times New Roman" w:eastAsia="Times New Roman" w:hAnsi="Times New Roman" w:cs="Times New Roman"/>
          <w:sz w:val="28"/>
          <w:szCs w:val="28"/>
          <w:lang w:val="uk-UA" w:eastAsia="ru-RU"/>
        </w:rPr>
        <w:br/>
        <w:t xml:space="preserve">доступністю  кредитних  ресурсів  та  таким  рівнем  інфляції,  що </w:t>
      </w:r>
      <w:r w:rsidRPr="007159B9">
        <w:rPr>
          <w:rFonts w:ascii="Times New Roman" w:eastAsia="Times New Roman" w:hAnsi="Times New Roman" w:cs="Times New Roman"/>
          <w:sz w:val="28"/>
          <w:szCs w:val="28"/>
          <w:lang w:val="uk-UA" w:eastAsia="ru-RU"/>
        </w:rPr>
        <w:br/>
        <w:t xml:space="preserve">забезпечує економічне зростання  та  підвищення  реальних  доходів </w:t>
      </w:r>
      <w:r w:rsidRPr="007159B9">
        <w:rPr>
          <w:rFonts w:ascii="Times New Roman" w:eastAsia="Times New Roman" w:hAnsi="Times New Roman" w:cs="Times New Roman"/>
          <w:sz w:val="28"/>
          <w:szCs w:val="28"/>
          <w:lang w:val="uk-UA" w:eastAsia="ru-RU"/>
        </w:rPr>
        <w:br/>
        <w:t>населення;</w:t>
      </w:r>
      <w:bookmarkStart w:id="13" w:name="o31"/>
      <w:bookmarkEnd w:id="13"/>
    </w:p>
    <w:p w:rsidR="006F0C7D" w:rsidRPr="007159B9" w:rsidRDefault="00D76211" w:rsidP="008C4E03">
      <w:pPr>
        <w:pStyle w:val="a4"/>
        <w:numPr>
          <w:ilvl w:val="0"/>
          <w:numId w:val="9"/>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i/>
          <w:iCs/>
          <w:sz w:val="28"/>
          <w:szCs w:val="28"/>
          <w:lang w:val="uk-UA" w:eastAsia="ru-RU"/>
        </w:rPr>
        <w:t>боргова безпека</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рівень внутрішньої  та  зовнішньої </w:t>
      </w:r>
      <w:r w:rsidRPr="007159B9">
        <w:rPr>
          <w:rFonts w:ascii="Times New Roman" w:eastAsia="Times New Roman" w:hAnsi="Times New Roman" w:cs="Times New Roman"/>
          <w:sz w:val="28"/>
          <w:szCs w:val="28"/>
          <w:lang w:val="uk-UA" w:eastAsia="ru-RU"/>
        </w:rPr>
        <w:br/>
        <w:t xml:space="preserve">заборгованості   з   урахуванням   вартості  її  обслуговування  й </w:t>
      </w:r>
      <w:r w:rsidRPr="007159B9">
        <w:rPr>
          <w:rFonts w:ascii="Times New Roman" w:eastAsia="Times New Roman" w:hAnsi="Times New Roman" w:cs="Times New Roman"/>
          <w:sz w:val="28"/>
          <w:szCs w:val="28"/>
          <w:lang w:val="uk-UA" w:eastAsia="ru-RU"/>
        </w:rPr>
        <w:br/>
        <w:t xml:space="preserve">ефективності використання внутрішніх  і  зовнішніх  запозичень  та </w:t>
      </w:r>
      <w:r w:rsidRPr="007159B9">
        <w:rPr>
          <w:rFonts w:ascii="Times New Roman" w:eastAsia="Times New Roman" w:hAnsi="Times New Roman" w:cs="Times New Roman"/>
          <w:sz w:val="28"/>
          <w:szCs w:val="28"/>
          <w:lang w:val="uk-UA" w:eastAsia="ru-RU"/>
        </w:rPr>
        <w:br/>
        <w:t>оптимального  співвідношення  між  ними,  достатній  для вирішення нагальних соціально-економічних потреб,  що  не  загрожує  втратою суверенітету і руйнуванням вітчизняної фінансової системи;</w:t>
      </w:r>
      <w:bookmarkStart w:id="14" w:name="o32"/>
      <w:bookmarkEnd w:id="14"/>
    </w:p>
    <w:p w:rsidR="006F0C7D" w:rsidRPr="007159B9" w:rsidRDefault="00D76211" w:rsidP="008C4E03">
      <w:pPr>
        <w:pStyle w:val="a4"/>
        <w:numPr>
          <w:ilvl w:val="0"/>
          <w:numId w:val="9"/>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i/>
          <w:iCs/>
          <w:sz w:val="28"/>
          <w:szCs w:val="28"/>
          <w:lang w:val="uk-UA" w:eastAsia="ru-RU"/>
        </w:rPr>
        <w:t>безпека страхового ринку</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рівень  забезпеченості </w:t>
      </w:r>
      <w:r w:rsidRPr="007159B9">
        <w:rPr>
          <w:rFonts w:ascii="Times New Roman" w:eastAsia="Times New Roman" w:hAnsi="Times New Roman" w:cs="Times New Roman"/>
          <w:sz w:val="28"/>
          <w:szCs w:val="28"/>
          <w:lang w:val="uk-UA" w:eastAsia="ru-RU"/>
        </w:rPr>
        <w:br/>
        <w:t xml:space="preserve">страхових  компаній фінансовими ресурсами,  який дав би їм змогу в разі  потреби  відшкодувати  обумовлені  в  договорах  страхування </w:t>
      </w:r>
      <w:r w:rsidRPr="007159B9">
        <w:rPr>
          <w:rFonts w:ascii="Times New Roman" w:eastAsia="Times New Roman" w:hAnsi="Times New Roman" w:cs="Times New Roman"/>
          <w:sz w:val="28"/>
          <w:szCs w:val="28"/>
          <w:lang w:val="uk-UA" w:eastAsia="ru-RU"/>
        </w:rPr>
        <w:br/>
        <w:t>збитки їх клієнтів і забезпечити ефективне функціонування;</w:t>
      </w:r>
      <w:bookmarkStart w:id="15" w:name="o33"/>
      <w:bookmarkEnd w:id="15"/>
    </w:p>
    <w:p w:rsidR="00D76211" w:rsidRPr="007159B9" w:rsidRDefault="00D76211" w:rsidP="008C4E03">
      <w:pPr>
        <w:pStyle w:val="a4"/>
        <w:numPr>
          <w:ilvl w:val="0"/>
          <w:numId w:val="9"/>
        </w:numPr>
        <w:tabs>
          <w:tab w:val="left" w:pos="993"/>
        </w:tabs>
        <w:spacing w:after="0" w:line="360" w:lineRule="auto"/>
        <w:ind w:left="0" w:firstLine="567"/>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i/>
          <w:iCs/>
          <w:sz w:val="28"/>
          <w:szCs w:val="28"/>
          <w:lang w:val="uk-UA" w:eastAsia="ru-RU"/>
        </w:rPr>
        <w:t>безпека фондового ринку</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оптимальний обсяг  капіталізації </w:t>
      </w:r>
      <w:r w:rsidRPr="007159B9">
        <w:rPr>
          <w:rFonts w:ascii="Times New Roman" w:eastAsia="Times New Roman" w:hAnsi="Times New Roman" w:cs="Times New Roman"/>
          <w:sz w:val="28"/>
          <w:szCs w:val="28"/>
          <w:lang w:val="uk-UA" w:eastAsia="ru-RU"/>
        </w:rPr>
        <w:br/>
        <w:t xml:space="preserve">ринку  (з  огляду  на  представлені  на  ньому  цінні  папери,  їх </w:t>
      </w:r>
      <w:r w:rsidRPr="007159B9">
        <w:rPr>
          <w:rFonts w:ascii="Times New Roman" w:eastAsia="Times New Roman" w:hAnsi="Times New Roman" w:cs="Times New Roman"/>
          <w:sz w:val="28"/>
          <w:szCs w:val="28"/>
          <w:lang w:val="uk-UA" w:eastAsia="ru-RU"/>
        </w:rPr>
        <w:br/>
        <w:t xml:space="preserve">структуру та  рівень  ліквідності),  здатний  забезпечити  стійкий </w:t>
      </w:r>
      <w:r w:rsidRPr="007159B9">
        <w:rPr>
          <w:rFonts w:ascii="Times New Roman" w:eastAsia="Times New Roman" w:hAnsi="Times New Roman" w:cs="Times New Roman"/>
          <w:sz w:val="28"/>
          <w:szCs w:val="28"/>
          <w:lang w:val="uk-UA" w:eastAsia="ru-RU"/>
        </w:rPr>
        <w:br/>
        <w:t xml:space="preserve">фінансовий  стан  емітентів,  власників,  покупців,  організаторів </w:t>
      </w:r>
      <w:r w:rsidRPr="007159B9">
        <w:rPr>
          <w:rFonts w:ascii="Times New Roman" w:eastAsia="Times New Roman" w:hAnsi="Times New Roman" w:cs="Times New Roman"/>
          <w:sz w:val="28"/>
          <w:szCs w:val="28"/>
          <w:lang w:val="uk-UA" w:eastAsia="ru-RU"/>
        </w:rPr>
        <w:br/>
        <w:t xml:space="preserve">торгівлі,   торгівців,    інститутів    спільного    інвестування, </w:t>
      </w:r>
      <w:r w:rsidRPr="007159B9">
        <w:rPr>
          <w:rFonts w:ascii="Times New Roman" w:eastAsia="Times New Roman" w:hAnsi="Times New Roman" w:cs="Times New Roman"/>
          <w:sz w:val="28"/>
          <w:szCs w:val="28"/>
          <w:lang w:val="uk-UA" w:eastAsia="ru-RU"/>
        </w:rPr>
        <w:br/>
        <w:t xml:space="preserve">посередників      (брокерів),     консультантів,     реєстраторів, </w:t>
      </w:r>
      <w:r w:rsidRPr="007159B9">
        <w:rPr>
          <w:rFonts w:ascii="Times New Roman" w:eastAsia="Times New Roman" w:hAnsi="Times New Roman" w:cs="Times New Roman"/>
          <w:sz w:val="28"/>
          <w:szCs w:val="28"/>
          <w:lang w:val="uk-UA" w:eastAsia="ru-RU"/>
        </w:rPr>
        <w:br/>
        <w:t>депозитаріїв, зберігачів та держави в цілому.</w:t>
      </w:r>
    </w:p>
    <w:p w:rsidR="00D76211" w:rsidRPr="007159B9" w:rsidRDefault="00D76211" w:rsidP="008C4E03">
      <w:pPr>
        <w:spacing w:after="0" w:line="360" w:lineRule="auto"/>
        <w:ind w:firstLine="708"/>
        <w:contextualSpacing/>
        <w:jc w:val="both"/>
        <w:rPr>
          <w:rFonts w:ascii="Times New Roman" w:eastAsia="Times New Roman" w:hAnsi="Times New Roman" w:cs="Times New Roman"/>
          <w:sz w:val="28"/>
          <w:szCs w:val="28"/>
          <w:lang w:val="uk-UA" w:eastAsia="ru-RU"/>
        </w:rPr>
      </w:pPr>
      <w:bookmarkStart w:id="16" w:name="o34"/>
      <w:bookmarkEnd w:id="16"/>
      <w:r w:rsidRPr="007159B9">
        <w:rPr>
          <w:rFonts w:ascii="Times New Roman" w:eastAsia="Times New Roman" w:hAnsi="Times New Roman" w:cs="Times New Roman"/>
          <w:b/>
          <w:bCs/>
          <w:sz w:val="28"/>
          <w:szCs w:val="28"/>
          <w:lang w:val="uk-UA" w:eastAsia="ru-RU"/>
        </w:rPr>
        <w:t>Зовнішньоекономічна безпека</w:t>
      </w:r>
      <w:r w:rsidR="008C4E03">
        <w:rPr>
          <w:rFonts w:ascii="Times New Roman" w:eastAsia="Times New Roman" w:hAnsi="Times New Roman" w:cs="Times New Roman"/>
          <w:b/>
          <w:bCs/>
          <w:sz w:val="28"/>
          <w:szCs w:val="28"/>
          <w:lang w:val="uk-UA" w:eastAsia="ru-RU"/>
        </w:rPr>
        <w:t xml:space="preserve"> </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стан відповідності </w:t>
      </w:r>
      <w:r w:rsidRPr="007159B9">
        <w:rPr>
          <w:rFonts w:ascii="Times New Roman" w:eastAsia="Times New Roman" w:hAnsi="Times New Roman" w:cs="Times New Roman"/>
          <w:sz w:val="28"/>
          <w:szCs w:val="28"/>
          <w:lang w:val="uk-UA" w:eastAsia="ru-RU"/>
        </w:rPr>
        <w:br/>
        <w:t xml:space="preserve">зовнішньоекономічної    діяльності    національним     економічним </w:t>
      </w:r>
      <w:r w:rsidRPr="007159B9">
        <w:rPr>
          <w:rFonts w:ascii="Times New Roman" w:eastAsia="Times New Roman" w:hAnsi="Times New Roman" w:cs="Times New Roman"/>
          <w:sz w:val="28"/>
          <w:szCs w:val="28"/>
          <w:lang w:val="uk-UA" w:eastAsia="ru-RU"/>
        </w:rPr>
        <w:br/>
        <w:t xml:space="preserve">інтересам,  що  забезпечує  мінімізацію  збитків  держави  від дії </w:t>
      </w:r>
      <w:r w:rsidRPr="007159B9">
        <w:rPr>
          <w:rFonts w:ascii="Times New Roman" w:eastAsia="Times New Roman" w:hAnsi="Times New Roman" w:cs="Times New Roman"/>
          <w:sz w:val="28"/>
          <w:szCs w:val="28"/>
          <w:lang w:val="uk-UA" w:eastAsia="ru-RU"/>
        </w:rPr>
        <w:br/>
        <w:t xml:space="preserve">негативних зовнішніх економічних чинників та створення сприятливих </w:t>
      </w:r>
      <w:r w:rsidRPr="007159B9">
        <w:rPr>
          <w:rFonts w:ascii="Times New Roman" w:eastAsia="Times New Roman" w:hAnsi="Times New Roman" w:cs="Times New Roman"/>
          <w:sz w:val="28"/>
          <w:szCs w:val="28"/>
          <w:lang w:val="uk-UA" w:eastAsia="ru-RU"/>
        </w:rPr>
        <w:br/>
        <w:t xml:space="preserve">умов  розвитку  економіки  завдяки  її активної участі у світовому </w:t>
      </w:r>
      <w:r w:rsidRPr="007159B9">
        <w:rPr>
          <w:rFonts w:ascii="Times New Roman" w:eastAsia="Times New Roman" w:hAnsi="Times New Roman" w:cs="Times New Roman"/>
          <w:sz w:val="28"/>
          <w:szCs w:val="28"/>
          <w:lang w:val="uk-UA" w:eastAsia="ru-RU"/>
        </w:rPr>
        <w:br/>
        <w:t>розподілі праці.</w:t>
      </w:r>
    </w:p>
    <w:p w:rsidR="00D76211" w:rsidRPr="007159B9" w:rsidRDefault="00D76211" w:rsidP="008C4E03">
      <w:pPr>
        <w:spacing w:after="0" w:line="360" w:lineRule="auto"/>
        <w:ind w:firstLine="708"/>
        <w:contextualSpacing/>
        <w:jc w:val="both"/>
        <w:rPr>
          <w:rFonts w:ascii="Times New Roman" w:eastAsia="Times New Roman" w:hAnsi="Times New Roman" w:cs="Times New Roman"/>
          <w:sz w:val="28"/>
          <w:szCs w:val="28"/>
          <w:lang w:val="uk-UA" w:eastAsia="ru-RU"/>
        </w:rPr>
      </w:pPr>
      <w:bookmarkStart w:id="17" w:name="o35"/>
      <w:bookmarkEnd w:id="17"/>
      <w:r w:rsidRPr="007159B9">
        <w:rPr>
          <w:rFonts w:ascii="Times New Roman" w:eastAsia="Times New Roman" w:hAnsi="Times New Roman" w:cs="Times New Roman"/>
          <w:b/>
          <w:bCs/>
          <w:sz w:val="28"/>
          <w:szCs w:val="28"/>
          <w:lang w:val="uk-UA" w:eastAsia="ru-RU"/>
        </w:rPr>
        <w:lastRenderedPageBreak/>
        <w:t>Інвестиційна безпека</w:t>
      </w:r>
      <w:r w:rsidR="008C4E03">
        <w:rPr>
          <w:rFonts w:ascii="Times New Roman" w:eastAsia="Times New Roman" w:hAnsi="Times New Roman" w:cs="Times New Roman"/>
          <w:b/>
          <w:bCs/>
          <w:sz w:val="28"/>
          <w:szCs w:val="28"/>
          <w:lang w:val="uk-UA" w:eastAsia="ru-RU"/>
        </w:rPr>
        <w:t xml:space="preserve"> </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рівень  національних  та </w:t>
      </w:r>
      <w:r w:rsidRPr="007159B9">
        <w:rPr>
          <w:rFonts w:ascii="Times New Roman" w:eastAsia="Times New Roman" w:hAnsi="Times New Roman" w:cs="Times New Roman"/>
          <w:sz w:val="28"/>
          <w:szCs w:val="28"/>
          <w:lang w:val="uk-UA" w:eastAsia="ru-RU"/>
        </w:rPr>
        <w:br/>
        <w:t xml:space="preserve">іноземних інвестицій (за умови  оптимального  їх  співвідношення), </w:t>
      </w:r>
      <w:r w:rsidRPr="007159B9">
        <w:rPr>
          <w:rFonts w:ascii="Times New Roman" w:eastAsia="Times New Roman" w:hAnsi="Times New Roman" w:cs="Times New Roman"/>
          <w:sz w:val="28"/>
          <w:szCs w:val="28"/>
          <w:lang w:val="uk-UA" w:eastAsia="ru-RU"/>
        </w:rPr>
        <w:br/>
        <w:t xml:space="preserve">який   здатен   забезпечити   довгострокову  позитивну  економічну </w:t>
      </w:r>
      <w:r w:rsidRPr="007159B9">
        <w:rPr>
          <w:rFonts w:ascii="Times New Roman" w:eastAsia="Times New Roman" w:hAnsi="Times New Roman" w:cs="Times New Roman"/>
          <w:sz w:val="28"/>
          <w:szCs w:val="28"/>
          <w:lang w:val="uk-UA" w:eastAsia="ru-RU"/>
        </w:rPr>
        <w:br/>
        <w:t xml:space="preserve">динаміку при належному рівні фінансування науково-технічної сфери, </w:t>
      </w:r>
      <w:r w:rsidRPr="007159B9">
        <w:rPr>
          <w:rFonts w:ascii="Times New Roman" w:eastAsia="Times New Roman" w:hAnsi="Times New Roman" w:cs="Times New Roman"/>
          <w:sz w:val="28"/>
          <w:szCs w:val="28"/>
          <w:lang w:val="uk-UA" w:eastAsia="ru-RU"/>
        </w:rPr>
        <w:br/>
        <w:t xml:space="preserve">створення  інноваційної  інфраструктури та адекватних інноваційних </w:t>
      </w:r>
      <w:r w:rsidRPr="007159B9">
        <w:rPr>
          <w:rFonts w:ascii="Times New Roman" w:eastAsia="Times New Roman" w:hAnsi="Times New Roman" w:cs="Times New Roman"/>
          <w:sz w:val="28"/>
          <w:szCs w:val="28"/>
          <w:lang w:val="uk-UA" w:eastAsia="ru-RU"/>
        </w:rPr>
        <w:br/>
        <w:t>механізмів.</w:t>
      </w:r>
    </w:p>
    <w:p w:rsidR="00D76211" w:rsidRPr="007159B9" w:rsidRDefault="00D76211" w:rsidP="008C4E03">
      <w:pPr>
        <w:spacing w:after="0" w:line="360" w:lineRule="auto"/>
        <w:ind w:firstLine="708"/>
        <w:contextualSpacing/>
        <w:jc w:val="both"/>
        <w:rPr>
          <w:rFonts w:ascii="Times New Roman" w:eastAsia="Times New Roman" w:hAnsi="Times New Roman" w:cs="Times New Roman"/>
          <w:sz w:val="28"/>
          <w:szCs w:val="28"/>
          <w:lang w:val="uk-UA" w:eastAsia="ru-RU"/>
        </w:rPr>
      </w:pPr>
      <w:bookmarkStart w:id="18" w:name="o36"/>
      <w:bookmarkEnd w:id="18"/>
      <w:r w:rsidRPr="007159B9">
        <w:rPr>
          <w:rFonts w:ascii="Times New Roman" w:eastAsia="Times New Roman" w:hAnsi="Times New Roman" w:cs="Times New Roman"/>
          <w:b/>
          <w:bCs/>
          <w:sz w:val="28"/>
          <w:szCs w:val="28"/>
          <w:lang w:val="uk-UA" w:eastAsia="ru-RU"/>
        </w:rPr>
        <w:t>Науково-технологічна безпека</w:t>
      </w:r>
      <w:r w:rsidR="008C4E03">
        <w:rPr>
          <w:rFonts w:ascii="Times New Roman" w:eastAsia="Times New Roman" w:hAnsi="Times New Roman" w:cs="Times New Roman"/>
          <w:b/>
          <w:bCs/>
          <w:sz w:val="28"/>
          <w:szCs w:val="28"/>
          <w:lang w:val="uk-UA" w:eastAsia="ru-RU"/>
        </w:rPr>
        <w:t xml:space="preserve"> </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стан </w:t>
      </w:r>
      <w:r w:rsidRPr="007159B9">
        <w:rPr>
          <w:rFonts w:ascii="Times New Roman" w:eastAsia="Times New Roman" w:hAnsi="Times New Roman" w:cs="Times New Roman"/>
          <w:sz w:val="28"/>
          <w:szCs w:val="28"/>
          <w:lang w:val="uk-UA" w:eastAsia="ru-RU"/>
        </w:rPr>
        <w:br/>
        <w:t xml:space="preserve">науково-технологічного та виробничого потенціалу держави, який дає </w:t>
      </w:r>
      <w:r w:rsidRPr="007159B9">
        <w:rPr>
          <w:rFonts w:ascii="Times New Roman" w:eastAsia="Times New Roman" w:hAnsi="Times New Roman" w:cs="Times New Roman"/>
          <w:sz w:val="28"/>
          <w:szCs w:val="28"/>
          <w:lang w:val="uk-UA" w:eastAsia="ru-RU"/>
        </w:rPr>
        <w:br/>
        <w:t xml:space="preserve">змогу забезпечити  належне  функціонування національної економіки, </w:t>
      </w:r>
      <w:r w:rsidRPr="007159B9">
        <w:rPr>
          <w:rFonts w:ascii="Times New Roman" w:eastAsia="Times New Roman" w:hAnsi="Times New Roman" w:cs="Times New Roman"/>
          <w:sz w:val="28"/>
          <w:szCs w:val="28"/>
          <w:lang w:val="uk-UA" w:eastAsia="ru-RU"/>
        </w:rPr>
        <w:br/>
        <w:t xml:space="preserve">достатнє   для   досягнення   та   підтримки   конкурентоздатності </w:t>
      </w:r>
      <w:r w:rsidRPr="007159B9">
        <w:rPr>
          <w:rFonts w:ascii="Times New Roman" w:eastAsia="Times New Roman" w:hAnsi="Times New Roman" w:cs="Times New Roman"/>
          <w:sz w:val="28"/>
          <w:szCs w:val="28"/>
          <w:lang w:val="uk-UA" w:eastAsia="ru-RU"/>
        </w:rPr>
        <w:br/>
        <w:t xml:space="preserve">вітчизняної продукції, а також гарантування державної незалежності </w:t>
      </w:r>
      <w:r w:rsidRPr="007159B9">
        <w:rPr>
          <w:rFonts w:ascii="Times New Roman" w:eastAsia="Times New Roman" w:hAnsi="Times New Roman" w:cs="Times New Roman"/>
          <w:sz w:val="28"/>
          <w:szCs w:val="28"/>
          <w:lang w:val="uk-UA" w:eastAsia="ru-RU"/>
        </w:rPr>
        <w:br/>
        <w:t>за рахунок власних інтелектуальних і технологічних ресурсів.</w:t>
      </w:r>
    </w:p>
    <w:p w:rsidR="00991E5F" w:rsidRPr="007159B9" w:rsidRDefault="00D76211" w:rsidP="008C4E03">
      <w:pPr>
        <w:spacing w:after="0" w:line="360" w:lineRule="auto"/>
        <w:ind w:firstLine="709"/>
        <w:contextualSpacing/>
        <w:jc w:val="both"/>
        <w:rPr>
          <w:rFonts w:ascii="Times New Roman" w:eastAsia="Times New Roman" w:hAnsi="Times New Roman" w:cs="Times New Roman"/>
          <w:sz w:val="28"/>
          <w:szCs w:val="28"/>
          <w:lang w:val="uk-UA" w:eastAsia="ru-RU"/>
        </w:rPr>
      </w:pPr>
      <w:bookmarkStart w:id="19" w:name="o37"/>
      <w:bookmarkEnd w:id="19"/>
      <w:r w:rsidRPr="007159B9">
        <w:rPr>
          <w:rFonts w:ascii="Times New Roman" w:eastAsia="Times New Roman" w:hAnsi="Times New Roman" w:cs="Times New Roman"/>
          <w:b/>
          <w:bCs/>
          <w:sz w:val="28"/>
          <w:szCs w:val="28"/>
          <w:lang w:val="uk-UA" w:eastAsia="ru-RU"/>
        </w:rPr>
        <w:t>Енергетична безпека</w:t>
      </w:r>
      <w:r w:rsidR="008C4E03">
        <w:rPr>
          <w:rFonts w:ascii="Times New Roman" w:eastAsia="Times New Roman" w:hAnsi="Times New Roman" w:cs="Times New Roman"/>
          <w:b/>
          <w:bCs/>
          <w:sz w:val="28"/>
          <w:szCs w:val="28"/>
          <w:lang w:val="uk-UA" w:eastAsia="ru-RU"/>
        </w:rPr>
        <w:t xml:space="preserve"> </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стан </w:t>
      </w:r>
      <w:r w:rsidR="006F0C7D" w:rsidRPr="007159B9">
        <w:rPr>
          <w:rFonts w:ascii="Times New Roman" w:eastAsia="Times New Roman" w:hAnsi="Times New Roman" w:cs="Times New Roman"/>
          <w:sz w:val="28"/>
          <w:szCs w:val="28"/>
          <w:lang w:val="uk-UA" w:eastAsia="ru-RU"/>
        </w:rPr>
        <w:t>е</w:t>
      </w:r>
      <w:r w:rsidRPr="007159B9">
        <w:rPr>
          <w:rFonts w:ascii="Times New Roman" w:eastAsia="Times New Roman" w:hAnsi="Times New Roman" w:cs="Times New Roman"/>
          <w:sz w:val="28"/>
          <w:szCs w:val="28"/>
          <w:lang w:val="uk-UA" w:eastAsia="ru-RU"/>
        </w:rPr>
        <w:t xml:space="preserve">кономіки,  який </w:t>
      </w:r>
      <w:r w:rsidRPr="007159B9">
        <w:rPr>
          <w:rFonts w:ascii="Times New Roman" w:eastAsia="Times New Roman" w:hAnsi="Times New Roman" w:cs="Times New Roman"/>
          <w:sz w:val="28"/>
          <w:szCs w:val="28"/>
          <w:lang w:val="uk-UA" w:eastAsia="ru-RU"/>
        </w:rPr>
        <w:br/>
        <w:t xml:space="preserve">забезпечує захищеність національних інтересів у енергетичній сфері </w:t>
      </w:r>
      <w:r w:rsidRPr="007159B9">
        <w:rPr>
          <w:rFonts w:ascii="Times New Roman" w:eastAsia="Times New Roman" w:hAnsi="Times New Roman" w:cs="Times New Roman"/>
          <w:sz w:val="28"/>
          <w:szCs w:val="28"/>
          <w:lang w:val="uk-UA" w:eastAsia="ru-RU"/>
        </w:rPr>
        <w:br/>
        <w:t xml:space="preserve">від  наявних  і  потенційних  загроз  внутрішнього  та зовнішнього </w:t>
      </w:r>
      <w:r w:rsidRPr="007159B9">
        <w:rPr>
          <w:rFonts w:ascii="Times New Roman" w:eastAsia="Times New Roman" w:hAnsi="Times New Roman" w:cs="Times New Roman"/>
          <w:sz w:val="28"/>
          <w:szCs w:val="28"/>
          <w:lang w:val="uk-UA" w:eastAsia="ru-RU"/>
        </w:rPr>
        <w:br/>
        <w:t xml:space="preserve">характеру,   дає   змогу   задовольняти    реальні    потреби    в </w:t>
      </w:r>
      <w:r w:rsidRPr="007159B9">
        <w:rPr>
          <w:rFonts w:ascii="Times New Roman" w:eastAsia="Times New Roman" w:hAnsi="Times New Roman" w:cs="Times New Roman"/>
          <w:sz w:val="28"/>
          <w:szCs w:val="28"/>
          <w:lang w:val="uk-UA" w:eastAsia="ru-RU"/>
        </w:rPr>
        <w:br/>
        <w:t>паливно</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енергетичних   ресурсах  для  забезпечення  життєдіяльності </w:t>
      </w:r>
      <w:r w:rsidRPr="007159B9">
        <w:rPr>
          <w:rFonts w:ascii="Times New Roman" w:eastAsia="Times New Roman" w:hAnsi="Times New Roman" w:cs="Times New Roman"/>
          <w:sz w:val="28"/>
          <w:szCs w:val="28"/>
          <w:lang w:val="uk-UA" w:eastAsia="ru-RU"/>
        </w:rPr>
        <w:br/>
        <w:t xml:space="preserve">населення та надійного  функціонування  національної  економіки  в </w:t>
      </w:r>
      <w:r w:rsidRPr="007159B9">
        <w:rPr>
          <w:rFonts w:ascii="Times New Roman" w:eastAsia="Times New Roman" w:hAnsi="Times New Roman" w:cs="Times New Roman"/>
          <w:sz w:val="28"/>
          <w:szCs w:val="28"/>
          <w:lang w:val="uk-UA" w:eastAsia="ru-RU"/>
        </w:rPr>
        <w:br/>
        <w:t>режимах звичайного, надзвичайного та воєнного стану.</w:t>
      </w:r>
      <w:bookmarkStart w:id="20" w:name="o38"/>
      <w:bookmarkEnd w:id="20"/>
    </w:p>
    <w:p w:rsidR="00991E5F" w:rsidRPr="007159B9" w:rsidRDefault="00D7621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t>Соціальна безпека</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стан розвитку держави, при якому </w:t>
      </w:r>
      <w:r w:rsidRPr="007159B9">
        <w:rPr>
          <w:rFonts w:ascii="Times New Roman" w:eastAsia="Times New Roman" w:hAnsi="Times New Roman" w:cs="Times New Roman"/>
          <w:sz w:val="28"/>
          <w:szCs w:val="28"/>
          <w:lang w:val="uk-UA" w:eastAsia="ru-RU"/>
        </w:rPr>
        <w:br/>
        <w:t xml:space="preserve">держава здатна забезпечити гідний і якісний рівень життя населення </w:t>
      </w:r>
      <w:r w:rsidRPr="007159B9">
        <w:rPr>
          <w:rFonts w:ascii="Times New Roman" w:eastAsia="Times New Roman" w:hAnsi="Times New Roman" w:cs="Times New Roman"/>
          <w:sz w:val="28"/>
          <w:szCs w:val="28"/>
          <w:lang w:val="uk-UA" w:eastAsia="ru-RU"/>
        </w:rPr>
        <w:br/>
        <w:t>незалежно від впливу внутрішніх та зовнішніх загроз.</w:t>
      </w:r>
      <w:bookmarkStart w:id="21" w:name="o39"/>
      <w:bookmarkEnd w:id="21"/>
    </w:p>
    <w:p w:rsidR="00991E5F" w:rsidRPr="007159B9" w:rsidRDefault="00D7621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t>Демографічна безпека</w:t>
      </w:r>
      <w:r w:rsidRPr="007159B9">
        <w:rPr>
          <w:rFonts w:ascii="Times New Roman" w:eastAsia="Times New Roman" w:hAnsi="Times New Roman" w:cs="Times New Roman"/>
          <w:sz w:val="28"/>
          <w:szCs w:val="28"/>
          <w:lang w:val="uk-UA" w:eastAsia="ru-RU"/>
        </w:rPr>
        <w:t xml:space="preserve"> - це  такий  стан захищеності держави, </w:t>
      </w:r>
      <w:r w:rsidRPr="007159B9">
        <w:rPr>
          <w:rFonts w:ascii="Times New Roman" w:eastAsia="Times New Roman" w:hAnsi="Times New Roman" w:cs="Times New Roman"/>
          <w:sz w:val="28"/>
          <w:szCs w:val="28"/>
          <w:lang w:val="uk-UA" w:eastAsia="ru-RU"/>
        </w:rPr>
        <w:br/>
        <w:t xml:space="preserve">суспільства та ринку праці від  демографічних  загроз,  при  якому </w:t>
      </w:r>
      <w:r w:rsidRPr="007159B9">
        <w:rPr>
          <w:rFonts w:ascii="Times New Roman" w:eastAsia="Times New Roman" w:hAnsi="Times New Roman" w:cs="Times New Roman"/>
          <w:sz w:val="28"/>
          <w:szCs w:val="28"/>
          <w:lang w:val="uk-UA" w:eastAsia="ru-RU"/>
        </w:rPr>
        <w:br/>
        <w:t xml:space="preserve">забезпечується   розвиток   України   з   урахуванням   сукупності </w:t>
      </w:r>
      <w:r w:rsidRPr="007159B9">
        <w:rPr>
          <w:rFonts w:ascii="Times New Roman" w:eastAsia="Times New Roman" w:hAnsi="Times New Roman" w:cs="Times New Roman"/>
          <w:sz w:val="28"/>
          <w:szCs w:val="28"/>
          <w:lang w:val="uk-UA" w:eastAsia="ru-RU"/>
        </w:rPr>
        <w:br/>
        <w:t xml:space="preserve">збалансованих  демографічних  інтересів  держави,  суспільства   й </w:t>
      </w:r>
      <w:r w:rsidRPr="007159B9">
        <w:rPr>
          <w:rFonts w:ascii="Times New Roman" w:eastAsia="Times New Roman" w:hAnsi="Times New Roman" w:cs="Times New Roman"/>
          <w:sz w:val="28"/>
          <w:szCs w:val="28"/>
          <w:lang w:val="uk-UA" w:eastAsia="ru-RU"/>
        </w:rPr>
        <w:br/>
        <w:t>особистості відповідно до конституційних прав громадян України.</w:t>
      </w:r>
      <w:bookmarkStart w:id="22" w:name="o40"/>
      <w:bookmarkEnd w:id="22"/>
    </w:p>
    <w:p w:rsidR="00991E5F" w:rsidRPr="007159B9" w:rsidRDefault="00D7621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t>Продовольча безпека</w:t>
      </w:r>
      <w:r w:rsidR="006F0C7D"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рівень   продовольчого </w:t>
      </w:r>
      <w:r w:rsidRPr="007159B9">
        <w:rPr>
          <w:rFonts w:ascii="Times New Roman" w:eastAsia="Times New Roman" w:hAnsi="Times New Roman" w:cs="Times New Roman"/>
          <w:sz w:val="28"/>
          <w:szCs w:val="28"/>
          <w:lang w:val="uk-UA" w:eastAsia="ru-RU"/>
        </w:rPr>
        <w:br/>
        <w:t xml:space="preserve">забезпечення  населення,  який  гарантує  соціально-економічну  та </w:t>
      </w:r>
      <w:r w:rsidRPr="007159B9">
        <w:rPr>
          <w:rFonts w:ascii="Times New Roman" w:eastAsia="Times New Roman" w:hAnsi="Times New Roman" w:cs="Times New Roman"/>
          <w:sz w:val="28"/>
          <w:szCs w:val="28"/>
          <w:lang w:val="uk-UA" w:eastAsia="ru-RU"/>
        </w:rPr>
        <w:br/>
      </w:r>
      <w:r w:rsidRPr="007159B9">
        <w:rPr>
          <w:rFonts w:ascii="Times New Roman" w:eastAsia="Times New Roman" w:hAnsi="Times New Roman" w:cs="Times New Roman"/>
          <w:sz w:val="28"/>
          <w:szCs w:val="28"/>
          <w:lang w:val="uk-UA" w:eastAsia="ru-RU"/>
        </w:rPr>
        <w:lastRenderedPageBreak/>
        <w:t xml:space="preserve">політичну стабільність у суспільстві,  стійкий та якісний розвиток </w:t>
      </w:r>
      <w:r w:rsidRPr="007159B9">
        <w:rPr>
          <w:rFonts w:ascii="Times New Roman" w:eastAsia="Times New Roman" w:hAnsi="Times New Roman" w:cs="Times New Roman"/>
          <w:sz w:val="28"/>
          <w:szCs w:val="28"/>
          <w:lang w:val="uk-UA" w:eastAsia="ru-RU"/>
        </w:rPr>
        <w:br/>
        <w:t>нації, сім'ї, особи, а також сталий економічний розвиток держави.</w:t>
      </w:r>
      <w:bookmarkStart w:id="23" w:name="o41"/>
      <w:bookmarkEnd w:id="23"/>
    </w:p>
    <w:p w:rsidR="00D76211" w:rsidRPr="007159B9" w:rsidRDefault="00D7621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b/>
          <w:bCs/>
          <w:sz w:val="28"/>
          <w:szCs w:val="28"/>
          <w:lang w:val="uk-UA" w:eastAsia="ru-RU"/>
        </w:rPr>
        <w:t>Виробнича безпека</w:t>
      </w:r>
      <w:r w:rsidR="001167CE"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це  такий  рівень  розвитку  промислового </w:t>
      </w:r>
      <w:r w:rsidRPr="007159B9">
        <w:rPr>
          <w:rFonts w:ascii="Times New Roman" w:eastAsia="Times New Roman" w:hAnsi="Times New Roman" w:cs="Times New Roman"/>
          <w:sz w:val="28"/>
          <w:szCs w:val="28"/>
          <w:lang w:val="uk-UA" w:eastAsia="ru-RU"/>
        </w:rPr>
        <w:br/>
        <w:t xml:space="preserve">комплексу  країни,  що  здатний забезпечити зростання економіки та </w:t>
      </w:r>
      <w:r w:rsidRPr="007159B9">
        <w:rPr>
          <w:rFonts w:ascii="Times New Roman" w:eastAsia="Times New Roman" w:hAnsi="Times New Roman" w:cs="Times New Roman"/>
          <w:sz w:val="28"/>
          <w:szCs w:val="28"/>
          <w:lang w:val="uk-UA" w:eastAsia="ru-RU"/>
        </w:rPr>
        <w:br/>
        <w:t xml:space="preserve">розширене її відтворення. </w:t>
      </w:r>
    </w:p>
    <w:p w:rsidR="00D76211" w:rsidRPr="007159B9" w:rsidRDefault="001500EC" w:rsidP="008C4E03">
      <w:pPr>
        <w:spacing w:after="0" w:line="360" w:lineRule="auto"/>
        <w:ind w:firstLine="709"/>
        <w:contextualSpacing/>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w:t>
      </w:r>
      <w:r w:rsidRPr="007159B9">
        <w:rPr>
          <w:rFonts w:ascii="Times New Roman" w:hAnsi="Times New Roman" w:cs="Times New Roman"/>
          <w:i/>
          <w:iCs/>
          <w:sz w:val="28"/>
          <w:szCs w:val="28"/>
          <w:lang w:val="uk-UA"/>
        </w:rPr>
        <w:t>Виробнича безпека</w:t>
      </w:r>
      <w:r w:rsidRPr="007159B9">
        <w:rPr>
          <w:rFonts w:ascii="Times New Roman" w:hAnsi="Times New Roman" w:cs="Times New Roman"/>
          <w:sz w:val="28"/>
          <w:szCs w:val="28"/>
          <w:lang w:val="uk-UA"/>
        </w:rPr>
        <w:t xml:space="preserve"> – це стан виробничої сфери країни, за якого забезпечується максимально ефективне використання виробничих потужностей у країні, їх модернізація та розширене відтворення, зростання рівня інноваційності виробництва, та підвищення рівня конкурентоспроможності національної економіки». Виробнича сфера країни за станом виробничої безпеки забезпечує виробництво продукції в обсягах достатніх для повного задоволення всіх внутрішніх потреб і потреб експорту</w:t>
      </w:r>
      <w:r w:rsidR="00055503" w:rsidRPr="007159B9">
        <w:rPr>
          <w:rFonts w:ascii="Times New Roman" w:hAnsi="Times New Roman" w:cs="Times New Roman"/>
          <w:sz w:val="28"/>
          <w:szCs w:val="28"/>
          <w:lang w:val="uk-UA"/>
        </w:rPr>
        <w:t>.</w:t>
      </w:r>
    </w:p>
    <w:p w:rsidR="00502C42" w:rsidRPr="007159B9" w:rsidRDefault="00815093" w:rsidP="008C4E03">
      <w:pPr>
        <w:spacing w:after="0" w:line="360" w:lineRule="auto"/>
        <w:ind w:firstLine="709"/>
        <w:contextualSpacing/>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w:t>
      </w:r>
      <w:r w:rsidR="00502C42" w:rsidRPr="007159B9">
        <w:rPr>
          <w:rFonts w:ascii="Times New Roman" w:hAnsi="Times New Roman" w:cs="Times New Roman"/>
          <w:sz w:val="28"/>
          <w:szCs w:val="28"/>
          <w:lang w:val="uk-UA"/>
        </w:rPr>
        <w:t>ВВП, обсяг промислової продукції за видами, структура між галузями і т.д.</w:t>
      </w:r>
      <w:r w:rsidRPr="007159B9">
        <w:rPr>
          <w:rFonts w:ascii="Times New Roman" w:hAnsi="Times New Roman" w:cs="Times New Roman"/>
          <w:sz w:val="28"/>
          <w:szCs w:val="28"/>
          <w:lang w:val="uk-UA"/>
        </w:rPr>
        <w:t>)</w:t>
      </w:r>
      <w:r w:rsidR="00E05A18" w:rsidRPr="007159B9">
        <w:rPr>
          <w:rFonts w:ascii="Times New Roman" w:hAnsi="Times New Roman" w:cs="Times New Roman"/>
          <w:sz w:val="28"/>
          <w:szCs w:val="28"/>
          <w:lang w:val="uk-UA"/>
        </w:rPr>
        <w:t xml:space="preserve"> – таблиця.</w:t>
      </w:r>
    </w:p>
    <w:p w:rsidR="00E05A18"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Індикатором, що характеризує стійкість виробничої складової безпеки є частка збиткових підприємств.</w:t>
      </w:r>
    </w:p>
    <w:p w:rsidR="00E05A18" w:rsidRPr="007159B9" w:rsidRDefault="00E05A18"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Достатня наявність основних засобів, їх своєчасне оновлення, модернізація і розширення прямо характеризують стан виробничої безпеки підприємств. </w:t>
      </w:r>
    </w:p>
    <w:p w:rsidR="00E05A18" w:rsidRPr="007159B9" w:rsidRDefault="00E05A18"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Основні засоби виробництва справедливо вважають однією із складових національного багатства країни. Основні виробничі засоби обліковуються і функціонують в натуральній і вартісній формах. </w:t>
      </w:r>
    </w:p>
    <w:p w:rsidR="00E05A18" w:rsidRPr="007159B9" w:rsidRDefault="00E05A18"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Впродовж періоду функціонування основні засоби зазнають фізичного і економічного (вартісного) спрацювання, а також техніко-економічного старіння. Як зазначають науковці, «під фізичним спрацюванням основних засобів розуміють явище поступової втрати ними своїх первісних техніко-експлуатаційних якостей, тобто споживчої вартості, що призводить до зменшення їхньої реальної вартості, економічного спрацювання. </w:t>
      </w:r>
    </w:p>
    <w:p w:rsidR="00502C42" w:rsidRPr="007159B9" w:rsidRDefault="00E05A18"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Відносну величину економічного спрацювання окремої фізичної одиниці або певної сукупності основних фондів визначають як відношення </w:t>
      </w:r>
      <w:r w:rsidRPr="007159B9">
        <w:rPr>
          <w:rFonts w:ascii="Times New Roman" w:eastAsia="Times New Roman" w:hAnsi="Times New Roman" w:cs="Times New Roman"/>
          <w:sz w:val="28"/>
          <w:szCs w:val="28"/>
          <w:lang w:val="uk-UA" w:eastAsia="ru-RU"/>
        </w:rPr>
        <w:lastRenderedPageBreak/>
        <w:t>накопиченої суми спрацювання, тобто їхньої вартості вже перенесеної на вартість продукції, до загальної, тобто первісної вартості»</w:t>
      </w:r>
    </w:p>
    <w:p w:rsidR="00E05A18" w:rsidRPr="007159B9" w:rsidRDefault="00E05A18" w:rsidP="008C4E03">
      <w:pPr>
        <w:spacing w:after="0" w:line="360" w:lineRule="auto"/>
        <w:contextualSpacing/>
        <w:jc w:val="both"/>
        <w:rPr>
          <w:rFonts w:ascii="Times New Roman" w:eastAsia="Times New Roman" w:hAnsi="Times New Roman" w:cs="Times New Roman"/>
          <w:sz w:val="28"/>
          <w:szCs w:val="28"/>
          <w:lang w:val="uk-UA" w:eastAsia="ru-RU"/>
        </w:rPr>
      </w:pPr>
    </w:p>
    <w:p w:rsidR="00E05A18" w:rsidRPr="007159B9" w:rsidRDefault="00E05A18" w:rsidP="008C4E03">
      <w:pPr>
        <w:spacing w:after="0" w:line="360" w:lineRule="auto"/>
        <w:contextualSpacing/>
        <w:jc w:val="both"/>
        <w:rPr>
          <w:rFonts w:ascii="Times New Roman" w:eastAsia="Times New Roman" w:hAnsi="Times New Roman" w:cs="Times New Roman"/>
          <w:sz w:val="28"/>
          <w:szCs w:val="28"/>
          <w:lang w:val="uk-UA" w:eastAsia="ru-RU"/>
        </w:rPr>
      </w:pPr>
    </w:p>
    <w:p w:rsidR="00E05A18" w:rsidRPr="007159B9" w:rsidRDefault="00E05A18" w:rsidP="008C4E03">
      <w:pPr>
        <w:spacing w:after="0" w:line="360" w:lineRule="auto"/>
        <w:contextualSpacing/>
        <w:jc w:val="both"/>
        <w:rPr>
          <w:rFonts w:ascii="Times New Roman" w:eastAsia="Times New Roman" w:hAnsi="Times New Roman" w:cs="Times New Roman"/>
          <w:sz w:val="28"/>
          <w:szCs w:val="28"/>
          <w:lang w:val="uk-UA" w:eastAsia="ru-RU"/>
        </w:rPr>
      </w:pPr>
      <m:oMathPara>
        <m:oMath>
          <m:r>
            <w:rPr>
              <w:rFonts w:ascii="Cambria Math" w:eastAsia="Times New Roman" w:hAnsi="Times New Roman" w:cs="Times New Roman"/>
              <w:sz w:val="28"/>
              <w:szCs w:val="28"/>
              <w:lang w:val="uk-UA" w:eastAsia="ru-RU"/>
            </w:rPr>
            <m:t>Кзносу</m:t>
          </m:r>
          <m:r>
            <w:rPr>
              <w:rFonts w:ascii="Cambria Math" w:eastAsia="Times New Roman" w:hAnsi="Times New Roman" w:cs="Times New Roman"/>
              <w:sz w:val="28"/>
              <w:szCs w:val="28"/>
              <w:lang w:val="uk-UA" w:eastAsia="ru-RU"/>
            </w:rPr>
            <m:t>=</m:t>
          </m:r>
          <m:f>
            <m:fPr>
              <m:ctrlPr>
                <w:rPr>
                  <w:rFonts w:ascii="Cambria Math" w:eastAsia="Times New Roman" w:hAnsi="Times New Roman" w:cs="Times New Roman"/>
                  <w:i/>
                  <w:sz w:val="28"/>
                  <w:szCs w:val="28"/>
                  <w:lang w:val="uk-UA" w:eastAsia="ru-RU"/>
                </w:rPr>
              </m:ctrlPr>
            </m:fPr>
            <m:num>
              <m:r>
                <w:rPr>
                  <w:rFonts w:ascii="Cambria Math" w:eastAsia="Times New Roman" w:hAnsi="Times New Roman" w:cs="Times New Roman"/>
                  <w:sz w:val="28"/>
                  <w:szCs w:val="28"/>
                  <w:lang w:val="uk-UA" w:eastAsia="ru-RU"/>
                </w:rPr>
                <m:t>сума</m:t>
              </m:r>
              <m:r>
                <w:rPr>
                  <w:rFonts w:ascii="Cambria Math" w:eastAsia="Times New Roman" w:hAnsi="Times New Roman" w:cs="Times New Roman"/>
                  <w:sz w:val="28"/>
                  <w:szCs w:val="28"/>
                  <w:lang w:val="uk-UA" w:eastAsia="ru-RU"/>
                </w:rPr>
                <m:t xml:space="preserve"> </m:t>
              </m:r>
              <m:r>
                <w:rPr>
                  <w:rFonts w:ascii="Cambria Math" w:eastAsia="Times New Roman" w:hAnsi="Times New Roman" w:cs="Times New Roman"/>
                  <w:sz w:val="28"/>
                  <w:szCs w:val="28"/>
                  <w:lang w:val="uk-UA" w:eastAsia="ru-RU"/>
                </w:rPr>
                <m:t>зносу</m:t>
              </m:r>
              <m:r>
                <w:rPr>
                  <w:rFonts w:ascii="Cambria Math" w:eastAsia="Times New Roman" w:hAnsi="Times New Roman" w:cs="Times New Roman"/>
                  <w:sz w:val="28"/>
                  <w:szCs w:val="28"/>
                  <w:lang w:val="uk-UA" w:eastAsia="ru-RU"/>
                </w:rPr>
                <m:t xml:space="preserve"> </m:t>
              </m:r>
              <m:r>
                <w:rPr>
                  <w:rFonts w:ascii="Cambria Math" w:eastAsia="Times New Roman" w:hAnsi="Times New Roman" w:cs="Times New Roman"/>
                  <w:sz w:val="28"/>
                  <w:szCs w:val="28"/>
                  <w:lang w:val="uk-UA" w:eastAsia="ru-RU"/>
                </w:rPr>
                <m:t>основних</m:t>
              </m:r>
              <m:r>
                <w:rPr>
                  <w:rFonts w:ascii="Cambria Math" w:eastAsia="Times New Roman" w:hAnsi="Times New Roman" w:cs="Times New Roman"/>
                  <w:sz w:val="28"/>
                  <w:szCs w:val="28"/>
                  <w:lang w:val="uk-UA" w:eastAsia="ru-RU"/>
                </w:rPr>
                <m:t xml:space="preserve"> </m:t>
              </m:r>
              <m:r>
                <w:rPr>
                  <w:rFonts w:ascii="Cambria Math" w:eastAsia="Times New Roman" w:hAnsi="Times New Roman" w:cs="Times New Roman"/>
                  <w:sz w:val="28"/>
                  <w:szCs w:val="28"/>
                  <w:lang w:val="uk-UA" w:eastAsia="ru-RU"/>
                </w:rPr>
                <m:t>засобів</m:t>
              </m:r>
            </m:num>
            <m:den>
              <m:r>
                <w:rPr>
                  <w:rFonts w:ascii="Cambria Math" w:eastAsia="Times New Roman" w:hAnsi="Times New Roman" w:cs="Times New Roman"/>
                  <w:sz w:val="28"/>
                  <w:szCs w:val="28"/>
                  <w:lang w:val="uk-UA" w:eastAsia="ru-RU"/>
                </w:rPr>
                <m:t>сума</m:t>
              </m:r>
              <m:r>
                <w:rPr>
                  <w:rFonts w:ascii="Cambria Math" w:eastAsia="Times New Roman" w:hAnsi="Times New Roman" w:cs="Times New Roman"/>
                  <w:sz w:val="28"/>
                  <w:szCs w:val="28"/>
                  <w:lang w:val="uk-UA" w:eastAsia="ru-RU"/>
                </w:rPr>
                <m:t xml:space="preserve"> </m:t>
              </m:r>
              <m:r>
                <w:rPr>
                  <w:rFonts w:ascii="Cambria Math" w:eastAsia="Times New Roman" w:hAnsi="Times New Roman" w:cs="Times New Roman"/>
                  <w:sz w:val="28"/>
                  <w:szCs w:val="28"/>
                  <w:lang w:val="uk-UA" w:eastAsia="ru-RU"/>
                </w:rPr>
                <m:t>первісної</m:t>
              </m:r>
              <m:r>
                <w:rPr>
                  <w:rFonts w:ascii="Cambria Math" w:eastAsia="Times New Roman" w:hAnsi="Times New Roman" w:cs="Times New Roman"/>
                  <w:sz w:val="28"/>
                  <w:szCs w:val="28"/>
                  <w:lang w:val="uk-UA" w:eastAsia="ru-RU"/>
                </w:rPr>
                <m:t xml:space="preserve"> </m:t>
              </m:r>
              <m:r>
                <w:rPr>
                  <w:rFonts w:ascii="Cambria Math" w:eastAsia="Times New Roman" w:hAnsi="Times New Roman" w:cs="Times New Roman"/>
                  <w:sz w:val="28"/>
                  <w:szCs w:val="28"/>
                  <w:lang w:val="uk-UA" w:eastAsia="ru-RU"/>
                </w:rPr>
                <m:t>вартості</m:t>
              </m:r>
              <m:r>
                <w:rPr>
                  <w:rFonts w:ascii="Cambria Math" w:eastAsia="Times New Roman" w:hAnsi="Times New Roman" w:cs="Times New Roman"/>
                  <w:sz w:val="28"/>
                  <w:szCs w:val="28"/>
                  <w:lang w:val="uk-UA" w:eastAsia="ru-RU"/>
                </w:rPr>
                <m:t xml:space="preserve"> </m:t>
              </m:r>
              <m:r>
                <w:rPr>
                  <w:rFonts w:ascii="Cambria Math" w:eastAsia="Times New Roman" w:hAnsi="Times New Roman" w:cs="Times New Roman"/>
                  <w:sz w:val="28"/>
                  <w:szCs w:val="28"/>
                  <w:lang w:val="uk-UA" w:eastAsia="ru-RU"/>
                </w:rPr>
                <m:t>основних</m:t>
              </m:r>
              <m:r>
                <w:rPr>
                  <w:rFonts w:ascii="Cambria Math" w:eastAsia="Times New Roman" w:hAnsi="Times New Roman" w:cs="Times New Roman"/>
                  <w:sz w:val="28"/>
                  <w:szCs w:val="28"/>
                  <w:lang w:val="uk-UA" w:eastAsia="ru-RU"/>
                </w:rPr>
                <m:t xml:space="preserve"> </m:t>
              </m:r>
              <m:r>
                <w:rPr>
                  <w:rFonts w:ascii="Cambria Math" w:eastAsia="Times New Roman" w:hAnsi="Times New Roman" w:cs="Times New Roman"/>
                  <w:sz w:val="28"/>
                  <w:szCs w:val="28"/>
                  <w:lang w:val="uk-UA" w:eastAsia="ru-RU"/>
                </w:rPr>
                <m:t>засобів</m:t>
              </m:r>
            </m:den>
          </m:f>
        </m:oMath>
      </m:oMathPara>
    </w:p>
    <w:p w:rsidR="00E05A18" w:rsidRPr="007159B9" w:rsidRDefault="00E05A18" w:rsidP="008C4E03">
      <w:pPr>
        <w:spacing w:after="0" w:line="360" w:lineRule="auto"/>
        <w:contextualSpacing/>
        <w:jc w:val="both"/>
        <w:rPr>
          <w:rFonts w:ascii="Times New Roman" w:eastAsia="Times New Roman" w:hAnsi="Times New Roman" w:cs="Times New Roman"/>
          <w:sz w:val="28"/>
          <w:szCs w:val="28"/>
          <w:lang w:val="uk-UA" w:eastAsia="ru-RU"/>
        </w:rPr>
      </w:pPr>
    </w:p>
    <w:p w:rsidR="00E05A18" w:rsidRPr="007159B9" w:rsidRDefault="00E05A18" w:rsidP="008C4E03">
      <w:pPr>
        <w:spacing w:after="0" w:line="360" w:lineRule="auto"/>
        <w:contextualSpacing/>
        <w:jc w:val="both"/>
        <w:rPr>
          <w:rFonts w:ascii="Times New Roman" w:eastAsia="Times New Roman" w:hAnsi="Times New Roman" w:cs="Times New Roman"/>
          <w:sz w:val="28"/>
          <w:szCs w:val="28"/>
          <w:lang w:val="uk-UA" w:eastAsia="ru-RU"/>
        </w:rPr>
      </w:pPr>
    </w:p>
    <w:p w:rsidR="00E05A18" w:rsidRPr="007159B9" w:rsidRDefault="00E05A18"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Великою непереборною перепоною (перешкодою) на сьогодні у здійсненні системи заходів по забезпеченню виробничої безпеки та економічного зростання в країні є критична зношеність основних засобів виробництва. У 2000 р., за даними Державного комітету статистики України, ступінь зносу основних засобів у всіх сферах і галузях економічної діяльності становила 43,7%, у тому числі у промисловості – 48,8%</w:t>
      </w:r>
      <w:r w:rsidR="007432DF" w:rsidRPr="007159B9">
        <w:rPr>
          <w:rFonts w:ascii="Times New Roman" w:eastAsia="Times New Roman" w:hAnsi="Times New Roman" w:cs="Times New Roman"/>
          <w:sz w:val="28"/>
          <w:szCs w:val="28"/>
          <w:lang w:val="uk-UA" w:eastAsia="ru-RU"/>
        </w:rPr>
        <w:t>.</w:t>
      </w:r>
    </w:p>
    <w:p w:rsidR="00E05A18" w:rsidRPr="007159B9" w:rsidRDefault="00E05A18" w:rsidP="008C4E03">
      <w:pPr>
        <w:spacing w:after="0" w:line="360" w:lineRule="auto"/>
        <w:contextualSpacing/>
        <w:jc w:val="both"/>
        <w:rPr>
          <w:rFonts w:ascii="Times New Roman" w:eastAsia="Times New Roman" w:hAnsi="Times New Roman" w:cs="Times New Roman"/>
          <w:sz w:val="28"/>
          <w:szCs w:val="28"/>
          <w:lang w:val="uk-UA" w:eastAsia="ru-RU"/>
        </w:rPr>
      </w:pPr>
    </w:p>
    <w:p w:rsidR="00E05A18" w:rsidRPr="007159B9" w:rsidRDefault="00E05A18" w:rsidP="00502C42">
      <w:pPr>
        <w:spacing w:after="0" w:line="240" w:lineRule="auto"/>
        <w:contextualSpacing/>
        <w:jc w:val="both"/>
        <w:rPr>
          <w:rFonts w:ascii="Times New Roman" w:eastAsia="Times New Roman" w:hAnsi="Times New Roman" w:cs="Times New Roman"/>
          <w:sz w:val="28"/>
          <w:szCs w:val="28"/>
          <w:lang w:val="uk-UA" w:eastAsia="ru-RU"/>
        </w:rPr>
        <w:sectPr w:rsidR="00E05A18" w:rsidRPr="007159B9" w:rsidSect="00472F81">
          <w:pgSz w:w="11906" w:h="16838"/>
          <w:pgMar w:top="1134" w:right="851" w:bottom="1134" w:left="1701" w:header="709" w:footer="709" w:gutter="0"/>
          <w:cols w:space="708"/>
          <w:docGrid w:linePitch="360"/>
        </w:sectPr>
      </w:pPr>
    </w:p>
    <w:p w:rsidR="00E05A18" w:rsidRPr="007159B9" w:rsidRDefault="00E05A18" w:rsidP="00E05A18">
      <w:pPr>
        <w:spacing w:line="240" w:lineRule="auto"/>
        <w:contextualSpacing/>
        <w:jc w:val="center"/>
        <w:rPr>
          <w:rFonts w:ascii="Times New Roman" w:hAnsi="Times New Roman" w:cs="Times New Roman"/>
          <w:b/>
          <w:sz w:val="28"/>
          <w:szCs w:val="28"/>
          <w:lang w:val="uk-UA"/>
        </w:rPr>
      </w:pPr>
      <w:r w:rsidRPr="007159B9">
        <w:rPr>
          <w:rFonts w:ascii="Times New Roman" w:hAnsi="Times New Roman" w:cs="Times New Roman"/>
          <w:b/>
          <w:sz w:val="28"/>
          <w:szCs w:val="28"/>
          <w:lang w:val="uk-UA"/>
        </w:rPr>
        <w:lastRenderedPageBreak/>
        <w:t>Основні показники розвитку промисловості України</w:t>
      </w:r>
    </w:p>
    <w:p w:rsidR="00E05A18" w:rsidRPr="007159B9" w:rsidRDefault="00E05A18" w:rsidP="00E05A18">
      <w:pPr>
        <w:spacing w:line="240" w:lineRule="auto"/>
        <w:contextualSpacing/>
        <w:jc w:val="center"/>
        <w:rPr>
          <w:rFonts w:ascii="Times New Roman" w:hAnsi="Times New Roman" w:cs="Times New Roman"/>
          <w:b/>
          <w:sz w:val="28"/>
          <w:szCs w:val="28"/>
          <w:lang w:val="uk-UA"/>
        </w:rPr>
      </w:pPr>
    </w:p>
    <w:tbl>
      <w:tblPr>
        <w:tblStyle w:val="a3"/>
        <w:tblW w:w="0" w:type="auto"/>
        <w:jc w:val="center"/>
        <w:tblLook w:val="04A0"/>
      </w:tblPr>
      <w:tblGrid>
        <w:gridCol w:w="4216"/>
        <w:gridCol w:w="846"/>
        <w:gridCol w:w="846"/>
        <w:gridCol w:w="846"/>
        <w:gridCol w:w="986"/>
        <w:gridCol w:w="986"/>
        <w:gridCol w:w="986"/>
        <w:gridCol w:w="986"/>
        <w:gridCol w:w="986"/>
        <w:gridCol w:w="986"/>
        <w:gridCol w:w="986"/>
      </w:tblGrid>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1996</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2000</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2005</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2010</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2013</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2014</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2015</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2016</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2017</w:t>
            </w:r>
          </w:p>
        </w:tc>
        <w:tc>
          <w:tcPr>
            <w:tcW w:w="0" w:type="auto"/>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2018</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Основні засоби промисловості у фактичних цінах, млрд. грн.</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255,5</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285,3</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456,7</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1101,2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1749,1</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1937,8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3842,5</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3072,9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2454,5</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Х</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Ступінь зносу основних засобів у промисловості, %</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p>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w:t>
            </w:r>
          </w:p>
        </w:tc>
        <w:tc>
          <w:tcPr>
            <w:tcW w:w="0" w:type="auto"/>
            <w:vAlign w:val="center"/>
          </w:tcPr>
          <w:p w:rsidR="00E05A18" w:rsidRPr="008C4E03" w:rsidRDefault="00E05A18" w:rsidP="00472F81">
            <w:pPr>
              <w:contextualSpacing/>
              <w:jc w:val="center"/>
              <w:rPr>
                <w:rFonts w:ascii="Times New Roman" w:hAnsi="Times New Roman" w:cs="Times New Roman"/>
                <w:b/>
                <w:bCs/>
                <w:sz w:val="28"/>
                <w:szCs w:val="28"/>
                <w:lang w:val="uk-UA"/>
              </w:rPr>
            </w:pPr>
            <w:r w:rsidRPr="008C4E03">
              <w:rPr>
                <w:rFonts w:ascii="Times New Roman" w:hAnsi="Times New Roman" w:cs="Times New Roman"/>
                <w:b/>
                <w:bCs/>
                <w:sz w:val="28"/>
                <w:szCs w:val="28"/>
                <w:lang w:val="uk-UA"/>
              </w:rPr>
              <w:t>48,8</w:t>
            </w:r>
          </w:p>
        </w:tc>
        <w:tc>
          <w:tcPr>
            <w:tcW w:w="0" w:type="auto"/>
            <w:vAlign w:val="center"/>
          </w:tcPr>
          <w:p w:rsidR="00E05A18" w:rsidRPr="008C4E03" w:rsidRDefault="00E05A18" w:rsidP="00472F81">
            <w:pPr>
              <w:contextualSpacing/>
              <w:jc w:val="center"/>
              <w:rPr>
                <w:rFonts w:ascii="Times New Roman" w:hAnsi="Times New Roman" w:cs="Times New Roman"/>
                <w:sz w:val="28"/>
                <w:szCs w:val="28"/>
                <w:lang w:val="uk-UA"/>
              </w:rPr>
            </w:pPr>
            <w:r w:rsidRPr="008C4E03">
              <w:rPr>
                <w:rFonts w:ascii="Times New Roman" w:hAnsi="Times New Roman" w:cs="Times New Roman"/>
                <w:sz w:val="28"/>
                <w:szCs w:val="28"/>
                <w:lang w:val="uk-UA"/>
              </w:rPr>
              <w:t>57,9</w:t>
            </w:r>
          </w:p>
        </w:tc>
        <w:tc>
          <w:tcPr>
            <w:tcW w:w="0" w:type="auto"/>
            <w:vAlign w:val="center"/>
          </w:tcPr>
          <w:p w:rsidR="00E05A18" w:rsidRPr="008C4E03" w:rsidRDefault="00E05A18" w:rsidP="00472F81">
            <w:pPr>
              <w:contextualSpacing/>
              <w:jc w:val="center"/>
              <w:rPr>
                <w:rFonts w:ascii="Times New Roman" w:hAnsi="Times New Roman" w:cs="Times New Roman"/>
                <w:sz w:val="28"/>
                <w:szCs w:val="28"/>
                <w:lang w:val="uk-UA"/>
              </w:rPr>
            </w:pPr>
            <w:r w:rsidRPr="008C4E03">
              <w:rPr>
                <w:rFonts w:ascii="Times New Roman" w:hAnsi="Times New Roman" w:cs="Times New Roman"/>
                <w:sz w:val="28"/>
                <w:szCs w:val="28"/>
                <w:lang w:val="uk-UA"/>
              </w:rPr>
              <w:t>63,8</w:t>
            </w:r>
          </w:p>
        </w:tc>
        <w:tc>
          <w:tcPr>
            <w:tcW w:w="0" w:type="auto"/>
            <w:vAlign w:val="center"/>
          </w:tcPr>
          <w:p w:rsidR="00E05A18" w:rsidRPr="008C4E03" w:rsidRDefault="00E05A18" w:rsidP="00472F81">
            <w:pPr>
              <w:contextualSpacing/>
              <w:jc w:val="center"/>
              <w:rPr>
                <w:rFonts w:ascii="Times New Roman" w:hAnsi="Times New Roman" w:cs="Times New Roman"/>
                <w:sz w:val="28"/>
                <w:szCs w:val="28"/>
                <w:lang w:val="uk-UA"/>
              </w:rPr>
            </w:pPr>
            <w:r w:rsidRPr="008C4E03">
              <w:rPr>
                <w:rFonts w:ascii="Times New Roman" w:hAnsi="Times New Roman" w:cs="Times New Roman"/>
                <w:sz w:val="28"/>
                <w:szCs w:val="28"/>
                <w:lang w:val="uk-UA"/>
              </w:rPr>
              <w:t>56,9</w:t>
            </w:r>
          </w:p>
        </w:tc>
        <w:tc>
          <w:tcPr>
            <w:tcW w:w="0" w:type="auto"/>
            <w:vAlign w:val="center"/>
          </w:tcPr>
          <w:p w:rsidR="00E05A18" w:rsidRPr="008C4E03" w:rsidRDefault="00E05A18" w:rsidP="00472F81">
            <w:pPr>
              <w:contextualSpacing/>
              <w:jc w:val="center"/>
              <w:rPr>
                <w:rFonts w:ascii="Times New Roman" w:hAnsi="Times New Roman" w:cs="Times New Roman"/>
                <w:sz w:val="28"/>
                <w:szCs w:val="28"/>
                <w:lang w:val="uk-UA"/>
              </w:rPr>
            </w:pPr>
            <w:r w:rsidRPr="008C4E03">
              <w:rPr>
                <w:rFonts w:ascii="Times New Roman" w:hAnsi="Times New Roman" w:cs="Times New Roman"/>
                <w:sz w:val="28"/>
                <w:szCs w:val="28"/>
                <w:lang w:val="uk-UA"/>
              </w:rPr>
              <w:t>60,3</w:t>
            </w:r>
          </w:p>
        </w:tc>
        <w:tc>
          <w:tcPr>
            <w:tcW w:w="0" w:type="auto"/>
            <w:vAlign w:val="center"/>
          </w:tcPr>
          <w:p w:rsidR="00E05A18" w:rsidRPr="008C4E03" w:rsidRDefault="00E05A18" w:rsidP="00472F81">
            <w:pPr>
              <w:contextualSpacing/>
              <w:jc w:val="center"/>
              <w:rPr>
                <w:rFonts w:ascii="Times New Roman" w:hAnsi="Times New Roman" w:cs="Times New Roman"/>
                <w:sz w:val="28"/>
                <w:szCs w:val="28"/>
                <w:lang w:val="uk-UA"/>
              </w:rPr>
            </w:pPr>
            <w:r w:rsidRPr="008C4E03">
              <w:rPr>
                <w:rFonts w:ascii="Times New Roman" w:hAnsi="Times New Roman" w:cs="Times New Roman"/>
                <w:sz w:val="28"/>
                <w:szCs w:val="28"/>
                <w:lang w:val="uk-UA"/>
              </w:rPr>
              <w:t>76,9</w:t>
            </w:r>
          </w:p>
        </w:tc>
        <w:tc>
          <w:tcPr>
            <w:tcW w:w="0" w:type="auto"/>
            <w:vAlign w:val="center"/>
          </w:tcPr>
          <w:p w:rsidR="00E05A18" w:rsidRPr="008C4E03" w:rsidRDefault="00E05A18" w:rsidP="00472F81">
            <w:pPr>
              <w:contextualSpacing/>
              <w:jc w:val="center"/>
              <w:rPr>
                <w:rFonts w:ascii="Times New Roman" w:hAnsi="Times New Roman" w:cs="Times New Roman"/>
                <w:sz w:val="28"/>
                <w:szCs w:val="28"/>
                <w:lang w:val="uk-UA"/>
              </w:rPr>
            </w:pPr>
            <w:r w:rsidRPr="008C4E03">
              <w:rPr>
                <w:rFonts w:ascii="Times New Roman" w:hAnsi="Times New Roman" w:cs="Times New Roman"/>
                <w:sz w:val="28"/>
                <w:szCs w:val="28"/>
                <w:lang w:val="uk-UA"/>
              </w:rPr>
              <w:t>69,4</w:t>
            </w:r>
          </w:p>
        </w:tc>
        <w:tc>
          <w:tcPr>
            <w:tcW w:w="0" w:type="auto"/>
            <w:vAlign w:val="center"/>
          </w:tcPr>
          <w:p w:rsidR="00E05A18" w:rsidRPr="008C4E03" w:rsidRDefault="00E05A18" w:rsidP="00472F81">
            <w:pPr>
              <w:contextualSpacing/>
              <w:jc w:val="center"/>
              <w:rPr>
                <w:rFonts w:ascii="Times New Roman" w:hAnsi="Times New Roman" w:cs="Times New Roman"/>
                <w:b/>
                <w:bCs/>
                <w:sz w:val="28"/>
                <w:szCs w:val="28"/>
                <w:lang w:val="uk-UA"/>
              </w:rPr>
            </w:pPr>
            <w:r w:rsidRPr="008C4E03">
              <w:rPr>
                <w:rFonts w:ascii="Times New Roman" w:hAnsi="Times New Roman" w:cs="Times New Roman"/>
                <w:b/>
                <w:bCs/>
                <w:sz w:val="28"/>
                <w:szCs w:val="28"/>
                <w:lang w:val="uk-UA"/>
              </w:rPr>
              <w:t>59,1</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Х</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Обсяг реалізованої промислової продукції, млрд. грн.</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Х</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Х</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Х</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1065,1</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1354,1</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428,8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1776,6</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2158,0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2625,9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3018,1</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Прибуток, збиток (-) у промисловості, млрд. грн.</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8,8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28,3</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31,4</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17,2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-166,4</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-181,4</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-7,6</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87,5</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156,7</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Рентабельність операційної діяльності,%</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8,9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5,5</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3,5</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1,6</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0,9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6,8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6,3</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Частка збиткових підприємств у промисловості, %</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42,2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37</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40,8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33,9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33,7</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27,1</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27,2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28,2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27,4</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Середньорічна кількість працівників у промисловості, тис. осіб</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4642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4465</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3913</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2860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2673</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2297</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2040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1960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1894</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1851</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Середньомісячна номінальна заробітна плата у промисловості, грн.</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153</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310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913</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2570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3763</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3988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4789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5902</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7631</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9633</w:t>
            </w:r>
          </w:p>
        </w:tc>
      </w:tr>
      <w:tr w:rsidR="00E05A18" w:rsidRPr="007159B9" w:rsidTr="00472F81">
        <w:trPr>
          <w:jc w:val="center"/>
        </w:trPr>
        <w:tc>
          <w:tcPr>
            <w:tcW w:w="4216" w:type="dxa"/>
          </w:tcPr>
          <w:p w:rsidR="00E05A18" w:rsidRPr="007159B9" w:rsidRDefault="00E05A18" w:rsidP="00472F81">
            <w:pPr>
              <w:contextualSpacing/>
              <w:rPr>
                <w:rFonts w:ascii="Times New Roman" w:hAnsi="Times New Roman" w:cs="Times New Roman"/>
                <w:sz w:val="28"/>
                <w:szCs w:val="28"/>
                <w:lang w:val="uk-UA"/>
              </w:rPr>
            </w:pPr>
            <w:r w:rsidRPr="007159B9">
              <w:rPr>
                <w:rFonts w:ascii="Times New Roman" w:hAnsi="Times New Roman" w:cs="Times New Roman"/>
                <w:sz w:val="28"/>
                <w:szCs w:val="28"/>
                <w:lang w:val="uk-UA"/>
              </w:rPr>
              <w:t>Середній курс гривни до 1 дол. США</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5,4</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5,1</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7,9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8,0</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11,9</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21,8</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25,6</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26,6</w:t>
            </w:r>
          </w:p>
        </w:tc>
        <w:tc>
          <w:tcPr>
            <w:tcW w:w="0" w:type="auto"/>
            <w:vAlign w:val="center"/>
          </w:tcPr>
          <w:p w:rsidR="00E05A18" w:rsidRPr="007159B9" w:rsidRDefault="00E05A18" w:rsidP="00472F81">
            <w:pPr>
              <w:contextualSpacing/>
              <w:jc w:val="center"/>
              <w:rPr>
                <w:rFonts w:ascii="Times New Roman" w:hAnsi="Times New Roman" w:cs="Times New Roman"/>
                <w:sz w:val="28"/>
                <w:szCs w:val="28"/>
                <w:lang w:val="uk-UA"/>
              </w:rPr>
            </w:pPr>
            <w:r w:rsidRPr="007159B9">
              <w:rPr>
                <w:rFonts w:ascii="Times New Roman" w:hAnsi="Times New Roman" w:cs="Times New Roman"/>
                <w:sz w:val="28"/>
                <w:szCs w:val="28"/>
                <w:lang w:val="uk-UA"/>
              </w:rPr>
              <w:t>27,2</w:t>
            </w:r>
          </w:p>
        </w:tc>
      </w:tr>
    </w:tbl>
    <w:p w:rsidR="00E05A18" w:rsidRPr="007159B9" w:rsidRDefault="00E05A18" w:rsidP="00502C42">
      <w:pPr>
        <w:spacing w:after="0" w:line="240" w:lineRule="auto"/>
        <w:contextualSpacing/>
        <w:jc w:val="both"/>
        <w:rPr>
          <w:rFonts w:ascii="Times New Roman" w:eastAsia="Times New Roman" w:hAnsi="Times New Roman" w:cs="Times New Roman"/>
          <w:sz w:val="28"/>
          <w:szCs w:val="28"/>
          <w:lang w:val="uk-UA" w:eastAsia="ru-RU"/>
        </w:rPr>
        <w:sectPr w:rsidR="00E05A18" w:rsidRPr="007159B9" w:rsidSect="00E05A18">
          <w:pgSz w:w="16838" w:h="11906" w:orient="landscape"/>
          <w:pgMar w:top="1701" w:right="1134" w:bottom="851" w:left="1134" w:header="709" w:footer="709" w:gutter="0"/>
          <w:cols w:space="708"/>
          <w:docGrid w:linePitch="360"/>
        </w:sectPr>
      </w:pPr>
    </w:p>
    <w:p w:rsidR="00472F81" w:rsidRPr="007159B9" w:rsidRDefault="00472F8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lastRenderedPageBreak/>
        <w:t xml:space="preserve">Впродовж 15 років через відсутність достатньої кількості власних фінансових ресурсів у підприємств внаслідок постійного інфляційного знецінення коштів амортизаційного фонду, низького рівня рентабельності виробництва, несприятливих умов банківського кредитування реального сектора економіки, мізерного державного кредитування на технічне переоснащення, розширення виробництва, відбувалося щорічне значне фізичне спрацювання (старіння) основних засобів. У 2014 р. ступінь зносу основних засобів на підприємствах і в організаціях усіх видів економічної діяльності сягала загрозливих для здійснення самого ведення економічної діяльності 83,5%. </w:t>
      </w:r>
    </w:p>
    <w:p w:rsidR="00472F81" w:rsidRPr="007159B9" w:rsidRDefault="00472F8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Не менш загрозливим для виробничої безпеки стало спрацювання основних засобів у промисловості.</w:t>
      </w:r>
    </w:p>
    <w:p w:rsidR="000831FA" w:rsidRPr="007159B9" w:rsidRDefault="000831FA"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За нормальних умов простого відтворення виробництва на давно діючих підприємствах ступінь зносу основних засобів має бути не вище 50%. Певна частина повністю спрацьованих основних засобів вибуває, а іншу таку за величиною частину починають використовувати. При розширенні виробництва показник зносу основних засобів знижується суттєво – нижче 50%. В експлуатацію додатково включають більше нових машин, устаткування та інших основних засобів взамін меншої кількості спрацьованих. </w:t>
      </w:r>
    </w:p>
    <w:p w:rsidR="006D1EC9" w:rsidRPr="007159B9" w:rsidRDefault="006D1EC9" w:rsidP="008C4E03">
      <w:pPr>
        <w:spacing w:after="0" w:line="360" w:lineRule="auto"/>
        <w:ind w:firstLine="709"/>
        <w:contextualSpacing/>
        <w:jc w:val="both"/>
        <w:rPr>
          <w:rFonts w:ascii="Times New Roman" w:hAnsi="Times New Roman" w:cs="Times New Roman"/>
          <w:sz w:val="28"/>
          <w:szCs w:val="28"/>
          <w:lang w:val="uk-UA"/>
        </w:rPr>
      </w:pPr>
      <w:r w:rsidRPr="007159B9">
        <w:rPr>
          <w:rFonts w:ascii="Times New Roman" w:hAnsi="Times New Roman" w:cs="Times New Roman"/>
          <w:sz w:val="28"/>
          <w:szCs w:val="28"/>
          <w:lang w:val="uk-UA"/>
        </w:rPr>
        <w:t xml:space="preserve">Форми відтворення основних засобів класифікуються за розміром фінансування та ефективністю його проведення: </w:t>
      </w:r>
    </w:p>
    <w:p w:rsidR="006D1EC9" w:rsidRPr="007159B9" w:rsidRDefault="006D1EC9" w:rsidP="008C4E03">
      <w:pPr>
        <w:pStyle w:val="a4"/>
        <w:numPr>
          <w:ilvl w:val="0"/>
          <w:numId w:val="10"/>
        </w:numPr>
        <w:spacing w:after="0" w:line="360" w:lineRule="auto"/>
        <w:ind w:left="0" w:firstLine="360"/>
        <w:jc w:val="both"/>
        <w:rPr>
          <w:rFonts w:ascii="Times New Roman" w:eastAsia="Times New Roman" w:hAnsi="Times New Roman" w:cs="Times New Roman"/>
          <w:sz w:val="28"/>
          <w:szCs w:val="28"/>
          <w:lang w:val="uk-UA" w:eastAsia="ru-RU"/>
        </w:rPr>
      </w:pPr>
      <w:r w:rsidRPr="007159B9">
        <w:rPr>
          <w:rFonts w:ascii="Times New Roman" w:hAnsi="Times New Roman" w:cs="Times New Roman"/>
          <w:sz w:val="28"/>
          <w:szCs w:val="28"/>
          <w:lang w:val="uk-UA"/>
        </w:rPr>
        <w:t xml:space="preserve">звужене відтворення означає зменшення первісної вартості основних засобів; </w:t>
      </w:r>
    </w:p>
    <w:p w:rsidR="006D1EC9" w:rsidRPr="007159B9" w:rsidRDefault="006D1EC9" w:rsidP="008C4E03">
      <w:pPr>
        <w:pStyle w:val="a4"/>
        <w:numPr>
          <w:ilvl w:val="0"/>
          <w:numId w:val="10"/>
        </w:numPr>
        <w:spacing w:after="0" w:line="360" w:lineRule="auto"/>
        <w:ind w:left="0" w:firstLine="360"/>
        <w:jc w:val="both"/>
        <w:rPr>
          <w:rFonts w:ascii="Times New Roman" w:eastAsia="Times New Roman" w:hAnsi="Times New Roman" w:cs="Times New Roman"/>
          <w:sz w:val="28"/>
          <w:szCs w:val="28"/>
          <w:lang w:val="uk-UA" w:eastAsia="ru-RU"/>
        </w:rPr>
      </w:pPr>
      <w:r w:rsidRPr="007159B9">
        <w:rPr>
          <w:rFonts w:ascii="Times New Roman" w:hAnsi="Times New Roman" w:cs="Times New Roman"/>
          <w:sz w:val="28"/>
          <w:szCs w:val="28"/>
          <w:lang w:val="uk-UA"/>
        </w:rPr>
        <w:t xml:space="preserve">просте відтворення – збереження первісної вартості основних засобів (відновлюється виробнича потужність), </w:t>
      </w:r>
    </w:p>
    <w:p w:rsidR="006D1EC9" w:rsidRPr="007159B9" w:rsidRDefault="006D1EC9" w:rsidP="008C4E03">
      <w:pPr>
        <w:pStyle w:val="a4"/>
        <w:numPr>
          <w:ilvl w:val="0"/>
          <w:numId w:val="10"/>
        </w:numPr>
        <w:spacing w:after="0" w:line="360" w:lineRule="auto"/>
        <w:ind w:left="0" w:firstLine="360"/>
        <w:jc w:val="both"/>
        <w:rPr>
          <w:rFonts w:ascii="Times New Roman" w:eastAsia="Times New Roman" w:hAnsi="Times New Roman" w:cs="Times New Roman"/>
          <w:sz w:val="28"/>
          <w:szCs w:val="28"/>
          <w:lang w:val="uk-UA" w:eastAsia="ru-RU"/>
        </w:rPr>
      </w:pPr>
      <w:r w:rsidRPr="007159B9">
        <w:rPr>
          <w:rFonts w:ascii="Times New Roman" w:hAnsi="Times New Roman" w:cs="Times New Roman"/>
          <w:sz w:val="28"/>
          <w:szCs w:val="28"/>
          <w:lang w:val="uk-UA"/>
        </w:rPr>
        <w:t>розширене відтворення – зростання первісної вартості основних засобів та їх загальної кількості, що призведе до зростання продуктивності обладнання.</w:t>
      </w:r>
    </w:p>
    <w:p w:rsidR="000831FA" w:rsidRPr="007159B9" w:rsidRDefault="000831FA"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lastRenderedPageBreak/>
        <w:t xml:space="preserve">На новостворених підприємствах, оснащених новою технікою, обладнанням й іншими основними виробничими потужностями, показник ступеня зносу основних засобів завжди буде максимально низьким.  Підвищення ступеню зносу основних засобів вище 50% вже свідчить про появу негативних (небажаних) факторів у процесі необхідного їх оновлення. </w:t>
      </w:r>
    </w:p>
    <w:p w:rsidR="00BE3D7C" w:rsidRPr="007159B9" w:rsidRDefault="00BE3D7C" w:rsidP="00BE3D7C">
      <w:pPr>
        <w:spacing w:after="0" w:line="240" w:lineRule="auto"/>
        <w:contextualSpacing/>
        <w:jc w:val="both"/>
        <w:rPr>
          <w:rFonts w:ascii="Times New Roman" w:eastAsia="Times New Roman" w:hAnsi="Times New Roman" w:cs="Times New Roman"/>
          <w:sz w:val="28"/>
          <w:szCs w:val="28"/>
          <w:lang w:val="uk-UA" w:eastAsia="ru-RU"/>
        </w:rPr>
      </w:pPr>
    </w:p>
    <w:p w:rsidR="000831FA" w:rsidRPr="007159B9" w:rsidRDefault="000831FA" w:rsidP="008C4E03">
      <w:pPr>
        <w:spacing w:after="0" w:line="360" w:lineRule="auto"/>
        <w:ind w:firstLine="709"/>
        <w:contextualSpacing/>
        <w:jc w:val="center"/>
        <w:rPr>
          <w:rFonts w:ascii="Times New Roman" w:eastAsia="Times New Roman" w:hAnsi="Times New Roman" w:cs="Times New Roman"/>
          <w:b/>
          <w:sz w:val="28"/>
          <w:szCs w:val="28"/>
          <w:lang w:val="uk-UA" w:eastAsia="ru-RU"/>
        </w:rPr>
      </w:pPr>
      <w:r w:rsidRPr="007159B9">
        <w:rPr>
          <w:rFonts w:ascii="Times New Roman" w:eastAsia="Times New Roman" w:hAnsi="Times New Roman" w:cs="Times New Roman"/>
          <w:b/>
          <w:sz w:val="28"/>
          <w:szCs w:val="28"/>
          <w:lang w:val="uk-UA" w:eastAsia="ru-RU"/>
        </w:rPr>
        <w:t>Показники стану основних засобів в Україні</w:t>
      </w:r>
    </w:p>
    <w:tbl>
      <w:tblPr>
        <w:tblStyle w:val="1"/>
        <w:tblW w:w="9350" w:type="dxa"/>
        <w:tblLook w:val="00A0"/>
      </w:tblPr>
      <w:tblGrid>
        <w:gridCol w:w="1838"/>
        <w:gridCol w:w="993"/>
        <w:gridCol w:w="992"/>
        <w:gridCol w:w="1046"/>
        <w:gridCol w:w="1134"/>
        <w:gridCol w:w="1134"/>
        <w:gridCol w:w="1079"/>
        <w:gridCol w:w="1134"/>
      </w:tblGrid>
      <w:tr w:rsidR="000831FA" w:rsidRPr="007159B9" w:rsidTr="00DA71CA">
        <w:trPr>
          <w:trHeight w:val="324"/>
        </w:trPr>
        <w:tc>
          <w:tcPr>
            <w:tcW w:w="1838"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 xml:space="preserve">Показники </w:t>
            </w:r>
          </w:p>
        </w:tc>
        <w:tc>
          <w:tcPr>
            <w:tcW w:w="993"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2011 р.</w:t>
            </w:r>
          </w:p>
        </w:tc>
        <w:tc>
          <w:tcPr>
            <w:tcW w:w="992"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2012 р.</w:t>
            </w:r>
          </w:p>
        </w:tc>
        <w:tc>
          <w:tcPr>
            <w:tcW w:w="1046"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2013 р.</w:t>
            </w:r>
          </w:p>
        </w:tc>
        <w:tc>
          <w:tcPr>
            <w:tcW w:w="1134"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2014 р.</w:t>
            </w:r>
          </w:p>
        </w:tc>
        <w:tc>
          <w:tcPr>
            <w:tcW w:w="1134"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2015 р.</w:t>
            </w:r>
          </w:p>
        </w:tc>
        <w:tc>
          <w:tcPr>
            <w:tcW w:w="1079"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2016 р.</w:t>
            </w:r>
          </w:p>
        </w:tc>
        <w:tc>
          <w:tcPr>
            <w:tcW w:w="1134" w:type="dxa"/>
          </w:tcPr>
          <w:p w:rsidR="000831FA" w:rsidRPr="007159B9" w:rsidRDefault="000831FA" w:rsidP="00226DE1">
            <w:pPr>
              <w:contextualSpacing/>
              <w:jc w:val="center"/>
              <w:rPr>
                <w:rFonts w:ascii="Times New Roman" w:eastAsia="Times New Roman" w:hAnsi="Times New Roman" w:cs="Times New Roman"/>
                <w:bCs/>
                <w:sz w:val="24"/>
                <w:szCs w:val="24"/>
                <w:lang w:val="uk-UA" w:eastAsia="ru-RU"/>
              </w:rPr>
            </w:pPr>
            <w:r w:rsidRPr="007159B9">
              <w:rPr>
                <w:rFonts w:ascii="Times New Roman" w:eastAsia="Times New Roman" w:hAnsi="Times New Roman" w:cs="Times New Roman"/>
                <w:bCs/>
                <w:sz w:val="24"/>
                <w:szCs w:val="24"/>
                <w:lang w:val="uk-UA" w:eastAsia="ru-RU"/>
              </w:rPr>
              <w:t>2017 р.</w:t>
            </w:r>
          </w:p>
        </w:tc>
      </w:tr>
      <w:tr w:rsidR="000831FA" w:rsidRPr="007159B9" w:rsidTr="00DA71CA">
        <w:trPr>
          <w:trHeight w:val="481"/>
        </w:trPr>
        <w:tc>
          <w:tcPr>
            <w:tcW w:w="1838" w:type="dxa"/>
          </w:tcPr>
          <w:p w:rsidR="000831FA" w:rsidRPr="007159B9" w:rsidRDefault="000831FA" w:rsidP="00226DE1">
            <w:pPr>
              <w:contextualSpacing/>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Основні засоби, млрд. грн. (факт. ціни на кінець року)</w:t>
            </w:r>
          </w:p>
        </w:tc>
        <w:tc>
          <w:tcPr>
            <w:tcW w:w="993"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7397 </w:t>
            </w:r>
          </w:p>
        </w:tc>
        <w:tc>
          <w:tcPr>
            <w:tcW w:w="992"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9148 </w:t>
            </w:r>
          </w:p>
        </w:tc>
        <w:tc>
          <w:tcPr>
            <w:tcW w:w="1046"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10401 </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13752 </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7641 </w:t>
            </w:r>
          </w:p>
        </w:tc>
        <w:tc>
          <w:tcPr>
            <w:tcW w:w="1079"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8177 </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7734 </w:t>
            </w:r>
          </w:p>
        </w:tc>
      </w:tr>
      <w:tr w:rsidR="000831FA" w:rsidRPr="007159B9" w:rsidTr="00DA71CA">
        <w:trPr>
          <w:trHeight w:val="481"/>
        </w:trPr>
        <w:tc>
          <w:tcPr>
            <w:tcW w:w="1838" w:type="dxa"/>
          </w:tcPr>
          <w:p w:rsidR="000831FA" w:rsidRPr="007159B9" w:rsidRDefault="000831FA" w:rsidP="00226DE1">
            <w:pPr>
              <w:contextualSpacing/>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Ступінь зносу основних засобів, %</w:t>
            </w:r>
          </w:p>
        </w:tc>
        <w:tc>
          <w:tcPr>
            <w:tcW w:w="993"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75,9 </w:t>
            </w:r>
          </w:p>
        </w:tc>
        <w:tc>
          <w:tcPr>
            <w:tcW w:w="992"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76,7 </w:t>
            </w:r>
          </w:p>
        </w:tc>
        <w:tc>
          <w:tcPr>
            <w:tcW w:w="1046"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77,3 </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 83,5</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60,1</w:t>
            </w:r>
          </w:p>
        </w:tc>
        <w:tc>
          <w:tcPr>
            <w:tcW w:w="1079"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 58,1</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 xml:space="preserve">55,1 </w:t>
            </w:r>
          </w:p>
        </w:tc>
      </w:tr>
      <w:tr w:rsidR="000831FA" w:rsidRPr="007159B9" w:rsidTr="00DA71CA">
        <w:trPr>
          <w:trHeight w:val="481"/>
        </w:trPr>
        <w:tc>
          <w:tcPr>
            <w:tcW w:w="1838" w:type="dxa"/>
          </w:tcPr>
          <w:p w:rsidR="000831FA" w:rsidRPr="007159B9" w:rsidRDefault="000831FA" w:rsidP="00226DE1">
            <w:pPr>
              <w:contextualSpacing/>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Капітальні інвестиції, млрд. грн. (у фактичних цінах)</w:t>
            </w:r>
          </w:p>
        </w:tc>
        <w:tc>
          <w:tcPr>
            <w:tcW w:w="993"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241,3</w:t>
            </w:r>
          </w:p>
        </w:tc>
        <w:tc>
          <w:tcPr>
            <w:tcW w:w="992"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273,3</w:t>
            </w:r>
          </w:p>
        </w:tc>
        <w:tc>
          <w:tcPr>
            <w:tcW w:w="1046"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249,4</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219,4</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273,1</w:t>
            </w:r>
          </w:p>
        </w:tc>
        <w:tc>
          <w:tcPr>
            <w:tcW w:w="1079"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359,2</w:t>
            </w:r>
          </w:p>
        </w:tc>
        <w:tc>
          <w:tcPr>
            <w:tcW w:w="1134" w:type="dxa"/>
          </w:tcPr>
          <w:p w:rsidR="000831FA" w:rsidRPr="007159B9" w:rsidRDefault="000831FA" w:rsidP="00226DE1">
            <w:pPr>
              <w:contextualSpacing/>
              <w:jc w:val="center"/>
              <w:rPr>
                <w:rFonts w:ascii="Times New Roman" w:eastAsia="Times New Roman" w:hAnsi="Times New Roman" w:cs="Times New Roman"/>
                <w:sz w:val="24"/>
                <w:szCs w:val="24"/>
                <w:lang w:val="uk-UA" w:eastAsia="ru-RU"/>
              </w:rPr>
            </w:pPr>
          </w:p>
          <w:p w:rsidR="000831FA" w:rsidRPr="007159B9" w:rsidRDefault="000831FA" w:rsidP="00226DE1">
            <w:pPr>
              <w:contextualSpacing/>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448,5</w:t>
            </w:r>
          </w:p>
        </w:tc>
      </w:tr>
    </w:tbl>
    <w:p w:rsidR="000831FA" w:rsidRPr="007159B9" w:rsidRDefault="000831FA" w:rsidP="000831FA">
      <w:pPr>
        <w:spacing w:after="0" w:line="240" w:lineRule="auto"/>
        <w:contextualSpacing/>
        <w:jc w:val="both"/>
        <w:rPr>
          <w:rFonts w:ascii="Times New Roman" w:eastAsia="Times New Roman" w:hAnsi="Times New Roman" w:cs="Times New Roman"/>
          <w:sz w:val="28"/>
          <w:szCs w:val="28"/>
          <w:lang w:val="uk-UA" w:eastAsia="ru-RU"/>
        </w:rPr>
      </w:pPr>
    </w:p>
    <w:p w:rsidR="007244D4" w:rsidRPr="007159B9" w:rsidRDefault="000831FA"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За даними Державної служби статистики України вартість основних засобів в Україні (у фактичних цінах) на кінець 2013 р. становила 10401 млрд. грн., а на кінець 2014 р. – відповідно 13752 млрд. грн., що на 3351 млрд. грн. або на 32,2% більше. </w:t>
      </w:r>
    </w:p>
    <w:p w:rsidR="000831FA" w:rsidRPr="007159B9" w:rsidRDefault="000831FA"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Зазначимо, що сума капітальних інвестицій (у фактичних цінах) у 2014 р. становила лише 219,4 млрд. грн., або була в 15,3 рази меншою від частки збільшення вартості основних засобів у країні за вказаний рік. До капітальних інвестицій відносять інвестиції в основний капітал (основні засоби), інші необоротні матеріальні активи; витрати, пов’язані з поліпшенням об’єкта, що призводить до збільшення майбутніх економічних вигод, первинно очікуваних від використання об’єкту, і, на суму яких збільшується первісна вартість основних засобів (капітальний ремонт будівель, споруд, машин та обладнання)». </w:t>
      </w:r>
    </w:p>
    <w:p w:rsidR="007244D4" w:rsidRPr="007159B9" w:rsidRDefault="007244D4"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Джерелом фінансових ресурсів для оновлення, інноваційного переоснащення і розширення основних засобів підприємств, крім </w:t>
      </w:r>
      <w:r w:rsidRPr="007159B9">
        <w:rPr>
          <w:rFonts w:ascii="Times New Roman" w:eastAsia="Times New Roman" w:hAnsi="Times New Roman" w:cs="Times New Roman"/>
          <w:sz w:val="28"/>
          <w:szCs w:val="28"/>
          <w:lang w:val="uk-UA" w:eastAsia="ru-RU"/>
        </w:rPr>
        <w:lastRenderedPageBreak/>
        <w:t>амортизаційних відрахувань і прибутку, можуть бути також кредити державного та комерційних банків, інших фінансових установ. Однак, якщо відсоткові ставки банків за кредитами перевищують показники економічної ефективності виробництва, то існує практично повна ймовірність виникнення неспроможності підприємства повернути кредити.</w:t>
      </w:r>
    </w:p>
    <w:p w:rsidR="008C4E03" w:rsidRDefault="008C4E03" w:rsidP="008C4E03">
      <w:pPr>
        <w:spacing w:after="0" w:line="360" w:lineRule="auto"/>
        <w:contextualSpacing/>
        <w:jc w:val="center"/>
        <w:rPr>
          <w:rFonts w:ascii="Times New Roman" w:eastAsia="Times New Roman" w:hAnsi="Times New Roman" w:cs="Times New Roman"/>
          <w:b/>
          <w:bCs/>
          <w:sz w:val="28"/>
          <w:szCs w:val="28"/>
          <w:lang w:val="uk-UA" w:eastAsia="ru-RU"/>
        </w:rPr>
      </w:pPr>
    </w:p>
    <w:p w:rsidR="008C4E03" w:rsidRDefault="003651BE" w:rsidP="008C4E03">
      <w:pPr>
        <w:spacing w:after="0" w:line="360" w:lineRule="auto"/>
        <w:contextualSpacing/>
        <w:jc w:val="center"/>
        <w:rPr>
          <w:rFonts w:ascii="Times New Roman" w:eastAsia="Times New Roman" w:hAnsi="Times New Roman" w:cs="Times New Roman"/>
          <w:b/>
          <w:bCs/>
          <w:sz w:val="28"/>
          <w:szCs w:val="28"/>
          <w:lang w:val="uk-UA" w:eastAsia="ru-RU"/>
        </w:rPr>
      </w:pPr>
      <w:r w:rsidRPr="007159B9">
        <w:rPr>
          <w:rFonts w:ascii="Times New Roman" w:eastAsia="Times New Roman" w:hAnsi="Times New Roman" w:cs="Times New Roman"/>
          <w:b/>
          <w:bCs/>
          <w:sz w:val="28"/>
          <w:szCs w:val="28"/>
          <w:lang w:val="uk-UA" w:eastAsia="ru-RU"/>
        </w:rPr>
        <w:t>БЕЗПЕКА БАНКІВСЬКОЇ СИСТЕМИ</w:t>
      </w:r>
    </w:p>
    <w:p w:rsidR="003651BE" w:rsidRPr="007159B9" w:rsidRDefault="003651BE" w:rsidP="008C4E03">
      <w:pPr>
        <w:spacing w:after="0" w:line="360" w:lineRule="auto"/>
        <w:contextualSpacing/>
        <w:jc w:val="center"/>
        <w:rPr>
          <w:rFonts w:ascii="Times New Roman" w:eastAsia="Times New Roman" w:hAnsi="Times New Roman" w:cs="Times New Roman"/>
          <w:b/>
          <w:bCs/>
          <w:sz w:val="28"/>
          <w:szCs w:val="28"/>
          <w:lang w:val="uk-UA" w:eastAsia="ru-RU"/>
        </w:rPr>
      </w:pPr>
      <w:r w:rsidRPr="007159B9">
        <w:rPr>
          <w:rFonts w:ascii="Times New Roman" w:eastAsia="Times New Roman" w:hAnsi="Times New Roman" w:cs="Times New Roman"/>
          <w:b/>
          <w:bCs/>
          <w:sz w:val="28"/>
          <w:szCs w:val="28"/>
          <w:lang w:val="uk-UA" w:eastAsia="ru-RU"/>
        </w:rPr>
        <w:t>ЯК СКЛАДОВА ФІНАНСОВОЇ БЕЗПЕКИ</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Фінансова безпека є однією з найважливіших складових економічної безпеки. Цесвоєрідний індикатор і критерій ефективності діяльності фінансової системи держави. Без забезпечення фінансової безпеки практично неможливо вирішити жодне іззавдань, що стоять перед Україною. Протена сьогодні в Україні не створено достатніх умов для нормального функціонуваннясистеми фінансової безпеки.</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Стан будь-якої складової економічної безпеки України характеризується певними індикаторами. Кожен з індикаторів має своє граничне (найменше чи найбільше) значення, яке встановлено залежно від рівня економічного розвитку країни. Відхилення фактичного значеннясвідчать про необхідність профілактики абоусунення причин, що їх зумовлюють.</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У системі показників </w:t>
      </w:r>
      <w:r w:rsidRPr="007159B9">
        <w:rPr>
          <w:rFonts w:ascii="Times New Roman" w:eastAsia="Times New Roman" w:hAnsi="Times New Roman" w:cs="Times New Roman"/>
          <w:b/>
          <w:bCs/>
          <w:sz w:val="28"/>
          <w:szCs w:val="28"/>
          <w:lang w:val="uk-UA" w:eastAsia="ru-RU"/>
        </w:rPr>
        <w:t>економічної безпеки</w:t>
      </w:r>
      <w:r w:rsidRPr="007159B9">
        <w:rPr>
          <w:rFonts w:ascii="Times New Roman" w:eastAsia="Times New Roman" w:hAnsi="Times New Roman" w:cs="Times New Roman"/>
          <w:sz w:val="28"/>
          <w:szCs w:val="28"/>
          <w:lang w:val="uk-UA" w:eastAsia="ru-RU"/>
        </w:rPr>
        <w:t xml:space="preserve"> виокремлюють такі основнііндикатори: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1) рівень і якість життя;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2) темпиінфляції;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3) норма безробіття;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4) економічнезростання;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5) дефіцит бюджету;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6) величинадержавного боргу;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7) стан золотовалютнихрезервів; </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8) діяльність тіньової економіки;</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lastRenderedPageBreak/>
        <w:t>9) стан екології.</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Індикатори </w:t>
      </w:r>
      <w:r w:rsidRPr="007159B9">
        <w:rPr>
          <w:rFonts w:ascii="Times New Roman" w:eastAsia="Times New Roman" w:hAnsi="Times New Roman" w:cs="Times New Roman"/>
          <w:b/>
          <w:bCs/>
          <w:sz w:val="28"/>
          <w:szCs w:val="28"/>
          <w:lang w:val="uk-UA" w:eastAsia="ru-RU"/>
        </w:rPr>
        <w:t>фінансової безпеки</w:t>
      </w:r>
      <w:r w:rsidRPr="007159B9">
        <w:rPr>
          <w:rFonts w:ascii="Times New Roman" w:eastAsia="Times New Roman" w:hAnsi="Times New Roman" w:cs="Times New Roman"/>
          <w:sz w:val="28"/>
          <w:szCs w:val="28"/>
          <w:lang w:val="uk-UA" w:eastAsia="ru-RU"/>
        </w:rPr>
        <w:t xml:space="preserve"> відображають специфіку певного рівня управління (громадян, домашніх господарств,підприємств, організацій і установ, галузігосподарського комплексу, регіонів, банківської системи, фондового ринку, держави)або таких її складових, як безпека грошового обігу, інфляційна, валютна, бюджетна,боргова й інвестиційна безпека.</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У Європейському Союзі існує система фінансових критеріїв (відповідно до Маастрихськихугод), яким повинні відповідати країниучасниці та кандидати на вступ до ЄС.</w:t>
      </w:r>
    </w:p>
    <w:p w:rsidR="006B7932" w:rsidRPr="007159B9" w:rsidRDefault="006B7932"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Більшість показників фінансової безпекиу ЄС та України мають ідентичні критичнізначення, що, з одного боку, сприяє можливій інтеграції України у європейське співтовариство, а з іншого, не враховує особливості вітчизняної економіки як перехідної татакої, що розвивається.</w:t>
      </w:r>
    </w:p>
    <w:p w:rsidR="006B7932" w:rsidRPr="007159B9" w:rsidRDefault="007946B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На основі багаторічного досвіду міжнародні інститути, зокрема МВФ, розробили систему показників, за допомогою якихоцінюють стан фінансової безпеки країнита прогнозують майбутній розвиток. Окрімзагальноприйнятих, МВФ розраховує показник ВВП на душу населення, індекс покриття експорту імпортом, індекс відкритості економіки та ін. показники фінансовоїбезпеки.</w:t>
      </w:r>
    </w:p>
    <w:p w:rsidR="008554E9" w:rsidRPr="007159B9" w:rsidRDefault="008554E9"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Наприклад, до індикаторів фінансової безпеки за складовою «безпека банківського сектору» віднесено:</w:t>
      </w:r>
    </w:p>
    <w:p w:rsidR="008554E9" w:rsidRPr="007159B9" w:rsidRDefault="008554E9" w:rsidP="008C4E03">
      <w:pPr>
        <w:pStyle w:val="a4"/>
        <w:numPr>
          <w:ilvl w:val="0"/>
          <w:numId w:val="12"/>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частка іноземного банківського капіталу в загальному обсязібанківського капіталу, %;</w:t>
      </w:r>
    </w:p>
    <w:p w:rsidR="008554E9" w:rsidRPr="007159B9" w:rsidRDefault="008554E9" w:rsidP="008C4E03">
      <w:pPr>
        <w:pStyle w:val="a4"/>
        <w:numPr>
          <w:ilvl w:val="0"/>
          <w:numId w:val="12"/>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обсяг кредитування банками реального сектору економіки,% до ВВП.</w:t>
      </w:r>
    </w:p>
    <w:p w:rsidR="003651BE" w:rsidRPr="007159B9" w:rsidRDefault="003651BE"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Безпека банківської системи є насамперед складовою фінансової безпеки держави, яка визначається більшістю вчених як такий стан фінансової, грошово-кредитної, валютної, банківської, бюджетної, податкової систем, що характеризується збалансованістю, стійкістю до негативних впливів, спроможністю забезпечити ефективне функціонування національної економічної системи та її зростання.</w:t>
      </w:r>
    </w:p>
    <w:p w:rsidR="003651BE" w:rsidRPr="007159B9" w:rsidRDefault="003651BE"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lastRenderedPageBreak/>
        <w:t>Національний банк встановлює облікову ставку для досягнення цілей щодо інфляції. Змінюючи облікову ставку, ми впливаємо на короткострокові процентні ставки за операціями на міжбанківському ринку.</w:t>
      </w:r>
    </w:p>
    <w:p w:rsidR="003651BE" w:rsidRPr="007159B9" w:rsidRDefault="003651BE"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Це позначається на зміні процентних ставок за кредитами та депозитами, які банки пропонують для підприємств та населення. Водночас це впливає на споживання та інвестиції громадян і підприємств, а отже - і на інфляцію. Такий зв’язок між обліковою ставкою та інфляцією називається трансмісійним механізмом.</w:t>
      </w:r>
    </w:p>
    <w:p w:rsidR="003651BE" w:rsidRPr="007159B9" w:rsidRDefault="003651BE"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Заходи монетарної політики вимагають часу, щоб позначитися на економіці та вплинути на інфляцію. Через це монетарна політика завжди спрямована на перспективу.</w:t>
      </w:r>
    </w:p>
    <w:p w:rsidR="003651BE" w:rsidRPr="007159B9" w:rsidRDefault="00B42B54"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Пріоритетом монетарної політики є досягнення та забезпечення цінової стабільності. Цінова стабільність передбачає незначне зростання цін, а не їх незмінність. За низької та стабільної інфляції доходи та заощадження українців захищені від знецінення, підприємці можуть здійснювати довгострокові інвестиції у вітчизняну економіку, що сприяє створенню робочих місць. Національний банк забезпечує цінову стабільність, використовуючи інфляційне таргетування та плаваючий обмінний курс гривні. Основним інструментом монетарної політики є облікова ставка.</w:t>
      </w:r>
    </w:p>
    <w:p w:rsidR="00066EDA" w:rsidRPr="007159B9" w:rsidRDefault="00066EDA" w:rsidP="008C4E03">
      <w:pPr>
        <w:spacing w:after="0" w:line="360" w:lineRule="auto"/>
        <w:ind w:firstLine="360"/>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Облікова ставка НБУ:</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2020 р. – 11% – 6%;</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2019 р. – 18% – 13,5%;</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2018 р. – 14,5% – 18,0%;</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2017 р. – 13,0% – 14,5%;</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2016 р. – 22% – 14%;</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2015 р. – 14% – 22%;</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2014 р. – 6,5% </w:t>
      </w:r>
      <w:r w:rsidR="002D1427" w:rsidRPr="007159B9">
        <w:rPr>
          <w:rFonts w:ascii="Times New Roman" w:eastAsia="Times New Roman" w:hAnsi="Times New Roman" w:cs="Times New Roman"/>
          <w:sz w:val="28"/>
          <w:szCs w:val="28"/>
          <w:lang w:val="uk-UA" w:eastAsia="ru-RU"/>
        </w:rPr>
        <w:t>–</w:t>
      </w:r>
      <w:r w:rsidRPr="007159B9">
        <w:rPr>
          <w:rFonts w:ascii="Times New Roman" w:eastAsia="Times New Roman" w:hAnsi="Times New Roman" w:cs="Times New Roman"/>
          <w:sz w:val="28"/>
          <w:szCs w:val="28"/>
          <w:lang w:val="uk-UA" w:eastAsia="ru-RU"/>
        </w:rPr>
        <w:t xml:space="preserve"> 14%;</w:t>
      </w:r>
    </w:p>
    <w:p w:rsidR="00066EDA" w:rsidRPr="007159B9" w:rsidRDefault="00066EDA" w:rsidP="008C4E03">
      <w:pPr>
        <w:pStyle w:val="a4"/>
        <w:numPr>
          <w:ilvl w:val="0"/>
          <w:numId w:val="11"/>
        </w:numPr>
        <w:spacing w:after="0" w:line="360" w:lineRule="auto"/>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2013 р. </w:t>
      </w:r>
      <w:r w:rsidR="002D1427" w:rsidRPr="007159B9">
        <w:rPr>
          <w:rFonts w:ascii="Times New Roman" w:eastAsia="Times New Roman" w:hAnsi="Times New Roman" w:cs="Times New Roman"/>
          <w:sz w:val="28"/>
          <w:szCs w:val="28"/>
          <w:lang w:val="uk-UA" w:eastAsia="ru-RU"/>
        </w:rPr>
        <w:t>–7,5% – 6,5%.</w:t>
      </w:r>
    </w:p>
    <w:p w:rsidR="002D1427" w:rsidRPr="007159B9" w:rsidRDefault="002D1427" w:rsidP="008C4E03">
      <w:pPr>
        <w:spacing w:after="0" w:line="360" w:lineRule="auto"/>
        <w:contextualSpacing/>
        <w:jc w:val="both"/>
        <w:rPr>
          <w:rFonts w:ascii="Times New Roman" w:eastAsia="Times New Roman" w:hAnsi="Times New Roman" w:cs="Times New Roman"/>
          <w:sz w:val="28"/>
          <w:szCs w:val="28"/>
          <w:lang w:val="uk-UA" w:eastAsia="ru-RU"/>
        </w:rPr>
      </w:pPr>
    </w:p>
    <w:p w:rsidR="007244D4" w:rsidRPr="007159B9" w:rsidRDefault="007244D4"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lastRenderedPageBreak/>
        <w:t xml:space="preserve">Відсоткові ставки банків за кредитами (у національній валюті) впродовж всього періоду реформування економіки держави в декілька разів перевищували показники рівня рентабельності операційної діяльності підприємств. Так, наприклад, у 2000 р. відсоткові ставки комерційних банків за кредитами у національній валюті сягали рекордних 40,3%, у 2001 р. – відповідно 31,9%, у 2003 р. – 24,8%. </w:t>
      </w:r>
    </w:p>
    <w:p w:rsidR="007244D4" w:rsidRPr="007159B9" w:rsidRDefault="007244D4"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Такі високі відсоткові ставки за кредитами на порядок перевищували середні показники рентабельності операційної діяльності підприємств. В подальших періодах відсоткові ставки комерційних банків за кредитами становили від 13,9% до 17,7%, що також значно вище за рівень рентабельності. </w:t>
      </w:r>
    </w:p>
    <w:p w:rsidR="007244D4" w:rsidRPr="007159B9" w:rsidRDefault="007244D4"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Станом на 4 березня 2015 р. облікова ставка НБУ становила 30%, поступово знизившись до 16,5% на 24 червня 2016 р. Зрозуміло, що такі коливання облікової ставки не надають можливості реальному сектору економіки розглядати кредит як надійне джерело фінансування програм оновлення, переоснащення та розширення основних засобів.</w:t>
      </w:r>
    </w:p>
    <w:p w:rsidR="00AA04F4" w:rsidRPr="007159B9" w:rsidRDefault="00AA04F4" w:rsidP="008C4E03">
      <w:pPr>
        <w:spacing w:after="0" w:line="360" w:lineRule="auto"/>
        <w:ind w:firstLine="709"/>
        <w:contextualSpacing/>
        <w:jc w:val="both"/>
        <w:rPr>
          <w:rFonts w:ascii="Times New Roman" w:hAnsi="Times New Roman" w:cs="Times New Roman"/>
          <w:bCs/>
          <w:sz w:val="28"/>
          <w:szCs w:val="28"/>
          <w:lang w:val="uk-UA"/>
        </w:rPr>
      </w:pPr>
      <w:r w:rsidRPr="007159B9">
        <w:rPr>
          <w:rFonts w:ascii="Times New Roman" w:hAnsi="Times New Roman" w:cs="Times New Roman"/>
          <w:bCs/>
          <w:sz w:val="28"/>
          <w:szCs w:val="28"/>
          <w:lang w:val="uk-UA"/>
        </w:rPr>
        <w:t>Рівень інфляції – виявляється у зростанні цін, що призводить до знецінення коштів населення і суб’єктів підприємницької діяльності та порушення справедливого розподілу благ у суспільстві. При зменшенні споживчого попиту на товари інфляція в розмірі до 4% може сприяти зростанню виробництва і стати стимулом до економічного зростання. Коли темпи інфляції переходять межу 5%, темпи економічного зростання починають зменшуватися, а коли інфляція сягає 25–45%, економічне зростання припиняється, на зміну йому приходить стагнація й спад виробництва, який поступово поглиблюється. При стагнації понад 5 років держава втрачає фінансову незалежність.</w:t>
      </w:r>
    </w:p>
    <w:p w:rsidR="00AA04F4" w:rsidRPr="007159B9" w:rsidRDefault="00AA04F4" w:rsidP="008C4E03">
      <w:pPr>
        <w:spacing w:after="0" w:line="360" w:lineRule="auto"/>
        <w:ind w:firstLine="709"/>
        <w:contextualSpacing/>
        <w:jc w:val="both"/>
        <w:rPr>
          <w:rFonts w:ascii="Times New Roman" w:hAnsi="Times New Roman" w:cs="Times New Roman"/>
          <w:bCs/>
          <w:sz w:val="28"/>
          <w:szCs w:val="28"/>
          <w:lang w:val="uk-UA"/>
        </w:rPr>
      </w:pPr>
      <w:r w:rsidRPr="007159B9">
        <w:rPr>
          <w:rFonts w:ascii="Times New Roman" w:hAnsi="Times New Roman" w:cs="Times New Roman"/>
          <w:bCs/>
          <w:sz w:val="28"/>
          <w:szCs w:val="28"/>
          <w:lang w:val="uk-UA"/>
        </w:rPr>
        <w:t xml:space="preserve">Єдиної думки щодо порогового значення рівня інфляції немає. Так, деякі дослідники визначають 5%; згідно із критеріями вступу до ЄС цей показник становить 3,1%.Середній же показник для України за </w:t>
      </w:r>
      <w:r w:rsidRPr="007159B9">
        <w:rPr>
          <w:rFonts w:ascii="Times New Roman" w:hAnsi="Times New Roman" w:cs="Times New Roman"/>
          <w:bCs/>
          <w:sz w:val="28"/>
          <w:szCs w:val="28"/>
          <w:lang w:val="uk-UA"/>
        </w:rPr>
        <w:lastRenderedPageBreak/>
        <w:t>період(</w:t>
      </w:r>
      <w:r w:rsidR="00974EA5" w:rsidRPr="008C4E03">
        <w:rPr>
          <w:rFonts w:ascii="Times New Roman" w:hAnsi="Times New Roman" w:cs="Times New Roman"/>
          <w:b/>
          <w:sz w:val="28"/>
          <w:szCs w:val="28"/>
          <w:lang w:val="uk-UA"/>
        </w:rPr>
        <w:t>1</w:t>
      </w:r>
      <w:r w:rsidRPr="008C4E03">
        <w:rPr>
          <w:rFonts w:ascii="Times New Roman" w:hAnsi="Times New Roman" w:cs="Times New Roman"/>
          <w:b/>
          <w:sz w:val="28"/>
          <w:szCs w:val="28"/>
          <w:lang w:val="uk-UA"/>
        </w:rPr>
        <w:t>12,</w:t>
      </w:r>
      <w:r w:rsidR="00974EA5" w:rsidRPr="008C4E03">
        <w:rPr>
          <w:rFonts w:ascii="Times New Roman" w:hAnsi="Times New Roman" w:cs="Times New Roman"/>
          <w:b/>
          <w:sz w:val="28"/>
          <w:szCs w:val="28"/>
          <w:lang w:val="uk-UA"/>
        </w:rPr>
        <w:t>22</w:t>
      </w:r>
      <w:r w:rsidRPr="008C4E03">
        <w:rPr>
          <w:rFonts w:ascii="Times New Roman" w:hAnsi="Times New Roman" w:cs="Times New Roman"/>
          <w:b/>
          <w:sz w:val="28"/>
          <w:szCs w:val="28"/>
          <w:lang w:val="uk-UA"/>
        </w:rPr>
        <w:t>%</w:t>
      </w:r>
      <w:r w:rsidRPr="007159B9">
        <w:rPr>
          <w:rFonts w:ascii="Times New Roman" w:hAnsi="Times New Roman" w:cs="Times New Roman"/>
          <w:bCs/>
          <w:sz w:val="28"/>
          <w:szCs w:val="28"/>
          <w:lang w:val="uk-UA"/>
        </w:rPr>
        <w:t>) далекий від цих меж, що негативнопозначається на рівні фінансової безпеки</w:t>
      </w:r>
      <w:r w:rsidR="00974EA5" w:rsidRPr="007159B9">
        <w:rPr>
          <w:rFonts w:ascii="Times New Roman" w:hAnsi="Times New Roman" w:cs="Times New Roman"/>
          <w:bCs/>
          <w:sz w:val="28"/>
          <w:szCs w:val="28"/>
          <w:lang w:val="uk-UA"/>
        </w:rPr>
        <w:t>.</w:t>
      </w:r>
    </w:p>
    <w:p w:rsidR="00974EA5" w:rsidRPr="007159B9" w:rsidRDefault="00974EA5" w:rsidP="00974EA5">
      <w:pPr>
        <w:spacing w:after="0" w:line="240" w:lineRule="auto"/>
        <w:contextualSpacing/>
        <w:jc w:val="both"/>
        <w:rPr>
          <w:rFonts w:ascii="Times New Roman" w:hAnsi="Times New Roman" w:cs="Times New Roman"/>
          <w:bCs/>
          <w:sz w:val="28"/>
          <w:szCs w:val="28"/>
          <w:lang w:val="uk-UA"/>
        </w:rPr>
      </w:pPr>
      <w:r w:rsidRPr="007159B9">
        <w:rPr>
          <w:rFonts w:ascii="Times New Roman" w:hAnsi="Times New Roman" w:cs="Times New Roman"/>
          <w:noProof/>
          <w:lang w:eastAsia="ru-RU"/>
        </w:rPr>
        <w:drawing>
          <wp:inline distT="0" distB="0" distL="0" distR="0">
            <wp:extent cx="5939790" cy="3016885"/>
            <wp:effectExtent l="0" t="0" r="3810" b="0"/>
            <wp:docPr id="1" name="Диаграмма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F0F554F-6139-48BE-B82F-DE90404292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74EA5" w:rsidRPr="007159B9" w:rsidRDefault="00974EA5" w:rsidP="00974EA5">
      <w:pPr>
        <w:spacing w:after="0" w:line="240" w:lineRule="auto"/>
        <w:contextualSpacing/>
        <w:jc w:val="center"/>
        <w:rPr>
          <w:rFonts w:ascii="Times New Roman" w:hAnsi="Times New Roman" w:cs="Times New Roman"/>
          <w:bCs/>
          <w:sz w:val="28"/>
          <w:szCs w:val="28"/>
          <w:lang w:val="uk-UA"/>
        </w:rPr>
      </w:pPr>
      <w:r w:rsidRPr="007159B9">
        <w:rPr>
          <w:rFonts w:ascii="Times New Roman" w:hAnsi="Times New Roman" w:cs="Times New Roman"/>
          <w:bCs/>
          <w:sz w:val="28"/>
          <w:szCs w:val="28"/>
          <w:lang w:val="uk-UA"/>
        </w:rPr>
        <w:t>Індекси інфляції в Україні</w:t>
      </w:r>
    </w:p>
    <w:p w:rsidR="00974EA5" w:rsidRPr="007159B9" w:rsidRDefault="00974EA5" w:rsidP="00974EA5">
      <w:pPr>
        <w:spacing w:after="0" w:line="240" w:lineRule="auto"/>
        <w:contextualSpacing/>
        <w:jc w:val="both"/>
        <w:rPr>
          <w:rFonts w:ascii="Times New Roman" w:hAnsi="Times New Roman" w:cs="Times New Roman"/>
          <w:bCs/>
          <w:sz w:val="28"/>
          <w:szCs w:val="28"/>
          <w:lang w:val="uk-UA"/>
        </w:rPr>
      </w:pPr>
    </w:p>
    <w:p w:rsidR="00974EA5" w:rsidRPr="007159B9" w:rsidRDefault="00974EA5" w:rsidP="00974EA5">
      <w:pPr>
        <w:spacing w:after="0" w:line="240" w:lineRule="auto"/>
        <w:contextualSpacing/>
        <w:jc w:val="both"/>
        <w:rPr>
          <w:rFonts w:ascii="Times New Roman" w:hAnsi="Times New Roman" w:cs="Times New Roman"/>
          <w:bCs/>
          <w:sz w:val="28"/>
          <w:szCs w:val="28"/>
          <w:lang w:val="uk-UA"/>
        </w:rPr>
      </w:pPr>
    </w:p>
    <w:p w:rsidR="00AA04F4" w:rsidRPr="007159B9" w:rsidRDefault="00AA04F4" w:rsidP="008C4E03">
      <w:pPr>
        <w:spacing w:after="0" w:line="360" w:lineRule="auto"/>
        <w:ind w:firstLine="709"/>
        <w:contextualSpacing/>
        <w:jc w:val="both"/>
        <w:rPr>
          <w:rFonts w:ascii="Times New Roman" w:hAnsi="Times New Roman" w:cs="Times New Roman"/>
          <w:bCs/>
          <w:sz w:val="28"/>
          <w:szCs w:val="28"/>
          <w:lang w:val="uk-UA"/>
        </w:rPr>
      </w:pPr>
      <w:r w:rsidRPr="007159B9">
        <w:rPr>
          <w:rFonts w:ascii="Times New Roman" w:hAnsi="Times New Roman" w:cs="Times New Roman"/>
          <w:bCs/>
          <w:sz w:val="28"/>
          <w:szCs w:val="28"/>
          <w:lang w:val="uk-UA"/>
        </w:rPr>
        <w:t>Рівень боргової безпеки України визначається зіставленням, відповідно, внутрішнього або зовнішнього боргу України з обсягами річного ВВП. Інформацію про обсягборгів та витрат державного бюджету на їхпогашення та обслуговування надає Міністерство фінансів України. Затяжна економічна криза, яка охопила українську економіку ще на початку 1990-х, нестабільністьфінансової системи, криза неплатежів, падіння ВВП призвели до виникнення значного внутрішнього та зовнішнього боргів України. Збільшення обсягів боргу спричиненопереважно необхідністю покриття дефіцитудержавного бюджету, проте запозичені кошти часто використовували не за цільовимпризначенням.</w:t>
      </w:r>
    </w:p>
    <w:p w:rsidR="00AA04F4" w:rsidRPr="007159B9" w:rsidRDefault="00AA04F4" w:rsidP="008C4E03">
      <w:pPr>
        <w:spacing w:after="0" w:line="360" w:lineRule="auto"/>
        <w:contextualSpacing/>
        <w:jc w:val="both"/>
        <w:rPr>
          <w:rFonts w:ascii="Times New Roman" w:hAnsi="Times New Roman" w:cs="Times New Roman"/>
          <w:b/>
          <w:sz w:val="28"/>
          <w:szCs w:val="28"/>
          <w:lang w:val="uk-UA"/>
        </w:rPr>
      </w:pPr>
    </w:p>
    <w:p w:rsidR="00AA04F4" w:rsidRPr="007159B9" w:rsidRDefault="00AA04F4" w:rsidP="008C4E03">
      <w:pPr>
        <w:spacing w:after="0" w:line="360" w:lineRule="auto"/>
        <w:contextualSpacing/>
        <w:jc w:val="center"/>
        <w:rPr>
          <w:rFonts w:ascii="Times New Roman" w:hAnsi="Times New Roman" w:cs="Times New Roman"/>
          <w:b/>
          <w:sz w:val="28"/>
          <w:szCs w:val="28"/>
          <w:lang w:val="uk-UA"/>
        </w:rPr>
      </w:pPr>
    </w:p>
    <w:p w:rsidR="00974EA5" w:rsidRPr="007159B9" w:rsidRDefault="00974EA5" w:rsidP="008C4E03">
      <w:pPr>
        <w:spacing w:after="0" w:line="360" w:lineRule="auto"/>
        <w:contextualSpacing/>
        <w:jc w:val="center"/>
        <w:rPr>
          <w:rFonts w:ascii="Times New Roman" w:hAnsi="Times New Roman" w:cs="Times New Roman"/>
          <w:b/>
          <w:sz w:val="28"/>
          <w:szCs w:val="28"/>
          <w:lang w:val="uk-UA"/>
        </w:rPr>
      </w:pPr>
    </w:p>
    <w:p w:rsidR="00974EA5" w:rsidRPr="007159B9" w:rsidRDefault="00974EA5" w:rsidP="008C4E03">
      <w:pPr>
        <w:spacing w:after="0" w:line="360" w:lineRule="auto"/>
        <w:contextualSpacing/>
        <w:jc w:val="center"/>
        <w:rPr>
          <w:rFonts w:ascii="Times New Roman" w:hAnsi="Times New Roman" w:cs="Times New Roman"/>
          <w:b/>
          <w:sz w:val="28"/>
          <w:szCs w:val="28"/>
          <w:lang w:val="uk-UA"/>
        </w:rPr>
      </w:pPr>
    </w:p>
    <w:p w:rsidR="00974EA5" w:rsidRPr="007159B9" w:rsidRDefault="00974EA5" w:rsidP="008C4E03">
      <w:pPr>
        <w:spacing w:after="0" w:line="360" w:lineRule="auto"/>
        <w:contextualSpacing/>
        <w:jc w:val="center"/>
        <w:rPr>
          <w:rFonts w:ascii="Times New Roman" w:hAnsi="Times New Roman" w:cs="Times New Roman"/>
          <w:b/>
          <w:sz w:val="28"/>
          <w:szCs w:val="28"/>
          <w:lang w:val="uk-UA"/>
        </w:rPr>
      </w:pPr>
    </w:p>
    <w:p w:rsidR="00974EA5" w:rsidRPr="007159B9" w:rsidRDefault="00974EA5" w:rsidP="008C4E03">
      <w:pPr>
        <w:spacing w:after="0" w:line="360" w:lineRule="auto"/>
        <w:contextualSpacing/>
        <w:jc w:val="center"/>
        <w:rPr>
          <w:rFonts w:ascii="Times New Roman" w:hAnsi="Times New Roman" w:cs="Times New Roman"/>
          <w:b/>
          <w:sz w:val="28"/>
          <w:szCs w:val="28"/>
          <w:lang w:val="uk-UA"/>
        </w:rPr>
      </w:pPr>
    </w:p>
    <w:p w:rsidR="00502C42" w:rsidRPr="007159B9" w:rsidRDefault="00502C42" w:rsidP="008C4E03">
      <w:pPr>
        <w:spacing w:after="0" w:line="360" w:lineRule="auto"/>
        <w:contextualSpacing/>
        <w:jc w:val="center"/>
        <w:rPr>
          <w:rFonts w:ascii="Times New Roman" w:hAnsi="Times New Roman" w:cs="Times New Roman"/>
          <w:b/>
          <w:sz w:val="28"/>
          <w:szCs w:val="28"/>
          <w:lang w:val="uk-UA"/>
        </w:rPr>
      </w:pPr>
      <w:r w:rsidRPr="007159B9">
        <w:rPr>
          <w:rFonts w:ascii="Times New Roman" w:hAnsi="Times New Roman" w:cs="Times New Roman"/>
          <w:b/>
          <w:sz w:val="28"/>
          <w:szCs w:val="28"/>
          <w:lang w:val="uk-UA"/>
        </w:rPr>
        <w:lastRenderedPageBreak/>
        <w:t>Витрати на проведення наукових досліджень і розробок та їх ефективність в окремих країнах світу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037"/>
        <w:gridCol w:w="1488"/>
        <w:gridCol w:w="931"/>
        <w:gridCol w:w="937"/>
        <w:gridCol w:w="2275"/>
        <w:gridCol w:w="1318"/>
      </w:tblGrid>
      <w:tr w:rsidR="00502C42" w:rsidRPr="007159B9" w:rsidTr="00472F81">
        <w:trPr>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Країна</w:t>
            </w:r>
          </w:p>
        </w:tc>
        <w:tc>
          <w:tcPr>
            <w:tcW w:w="1037"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Роки</w:t>
            </w:r>
          </w:p>
        </w:tc>
        <w:tc>
          <w:tcPr>
            <w:tcW w:w="1488"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ВВП, млрд. дол. США</w:t>
            </w:r>
          </w:p>
        </w:tc>
        <w:tc>
          <w:tcPr>
            <w:tcW w:w="4143" w:type="dxa"/>
            <w:gridSpan w:val="3"/>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Витрати на проведення наукових досліджень і розробок</w:t>
            </w:r>
          </w:p>
        </w:tc>
        <w:tc>
          <w:tcPr>
            <w:tcW w:w="1318"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ВВП на одну особу населення, дол. США</w:t>
            </w:r>
          </w:p>
        </w:tc>
      </w:tr>
      <w:tr w:rsidR="00502C42" w:rsidRPr="007159B9" w:rsidTr="00472F81">
        <w:trPr>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488"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 від ВВП</w:t>
            </w:r>
          </w:p>
        </w:tc>
        <w:tc>
          <w:tcPr>
            <w:tcW w:w="9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млрд. дол. США</w:t>
            </w:r>
          </w:p>
        </w:tc>
        <w:tc>
          <w:tcPr>
            <w:tcW w:w="2275"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у розрахунку на одну особу населення, дол. США</w:t>
            </w:r>
          </w:p>
        </w:tc>
        <w:tc>
          <w:tcPr>
            <w:tcW w:w="1318"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r>
      <w:tr w:rsidR="00502C42" w:rsidRPr="007159B9" w:rsidTr="00472F81">
        <w:trPr>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b/>
                <w:lang w:val="uk-UA"/>
              </w:rPr>
            </w:pPr>
            <w:r w:rsidRPr="007159B9">
              <w:rPr>
                <w:rFonts w:ascii="Times New Roman" w:hAnsi="Times New Roman" w:cs="Times New Roman"/>
                <w:b/>
                <w:lang w:val="uk-UA"/>
              </w:rPr>
              <w:t>Україна</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183,3</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0,76</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b/>
                <w:lang w:val="uk-UA"/>
              </w:rPr>
            </w:pPr>
            <w:r w:rsidRPr="007159B9">
              <w:rPr>
                <w:rFonts w:ascii="Times New Roman" w:hAnsi="Times New Roman" w:cs="Times New Roman"/>
                <w:b/>
                <w:lang w:val="uk-UA"/>
              </w:rPr>
              <w:t>1,4</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b/>
                <w:lang w:val="uk-UA"/>
              </w:rPr>
            </w:pPr>
            <w:r w:rsidRPr="007159B9">
              <w:rPr>
                <w:rFonts w:ascii="Times New Roman" w:hAnsi="Times New Roman" w:cs="Times New Roman"/>
                <w:b/>
                <w:lang w:val="uk-UA"/>
              </w:rPr>
              <w:t>31</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b/>
                <w:lang w:val="uk-UA"/>
              </w:rPr>
            </w:pPr>
            <w:r w:rsidRPr="007159B9">
              <w:rPr>
                <w:rFonts w:ascii="Times New Roman" w:hAnsi="Times New Roman" w:cs="Times New Roman"/>
                <w:b/>
                <w:lang w:val="uk-UA"/>
              </w:rPr>
              <w:t>4030</w:t>
            </w:r>
          </w:p>
        </w:tc>
      </w:tr>
      <w:tr w:rsidR="00502C42" w:rsidRPr="007159B9" w:rsidTr="00472F81">
        <w:trPr>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b/>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133,5</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0,65</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b/>
                <w:lang w:val="uk-UA"/>
              </w:rPr>
            </w:pPr>
            <w:r w:rsidRPr="007159B9">
              <w:rPr>
                <w:rFonts w:ascii="Times New Roman" w:hAnsi="Times New Roman" w:cs="Times New Roman"/>
                <w:b/>
                <w:lang w:val="uk-UA"/>
              </w:rPr>
              <w:t>0,9</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b/>
                <w:lang w:val="uk-UA"/>
              </w:rPr>
            </w:pPr>
            <w:r w:rsidRPr="007159B9">
              <w:rPr>
                <w:rFonts w:ascii="Times New Roman" w:hAnsi="Times New Roman" w:cs="Times New Roman"/>
                <w:b/>
                <w:lang w:val="uk-UA"/>
              </w:rPr>
              <w:t>20</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b/>
                <w:lang w:val="uk-UA"/>
              </w:rPr>
            </w:pPr>
            <w:r w:rsidRPr="007159B9">
              <w:rPr>
                <w:rFonts w:ascii="Times New Roman" w:hAnsi="Times New Roman" w:cs="Times New Roman"/>
                <w:b/>
                <w:lang w:val="uk-UA"/>
              </w:rPr>
              <w:t>3105</w:t>
            </w:r>
          </w:p>
        </w:tc>
      </w:tr>
      <w:tr w:rsidR="00502C42" w:rsidRPr="007159B9" w:rsidTr="00472F81">
        <w:trPr>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b/>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91,0</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0,62</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b/>
                <w:lang w:val="uk-UA"/>
              </w:rPr>
            </w:pPr>
            <w:r w:rsidRPr="007159B9">
              <w:rPr>
                <w:rFonts w:ascii="Times New Roman" w:hAnsi="Times New Roman" w:cs="Times New Roman"/>
                <w:b/>
                <w:lang w:val="uk-UA"/>
              </w:rPr>
              <w:t>0,6</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b/>
                <w:lang w:val="uk-UA"/>
              </w:rPr>
            </w:pPr>
            <w:r w:rsidRPr="007159B9">
              <w:rPr>
                <w:rFonts w:ascii="Times New Roman" w:hAnsi="Times New Roman" w:cs="Times New Roman"/>
                <w:b/>
                <w:lang w:val="uk-UA"/>
              </w:rPr>
              <w:t>13</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b/>
                <w:lang w:val="uk-UA"/>
              </w:rPr>
            </w:pPr>
            <w:r w:rsidRPr="007159B9">
              <w:rPr>
                <w:rFonts w:ascii="Times New Roman" w:hAnsi="Times New Roman" w:cs="Times New Roman"/>
                <w:b/>
                <w:lang w:val="uk-UA"/>
              </w:rPr>
              <w:t>2125</w:t>
            </w:r>
          </w:p>
        </w:tc>
      </w:tr>
      <w:tr w:rsidR="00502C42" w:rsidRPr="007159B9" w:rsidTr="00472F81">
        <w:trPr>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b/>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93,3</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0,48</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b/>
                <w:lang w:val="uk-UA"/>
              </w:rPr>
            </w:pPr>
            <w:r w:rsidRPr="007159B9">
              <w:rPr>
                <w:rFonts w:ascii="Times New Roman" w:hAnsi="Times New Roman" w:cs="Times New Roman"/>
                <w:b/>
                <w:lang w:val="uk-UA"/>
              </w:rPr>
              <w:t>0,4</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b/>
                <w:lang w:val="uk-UA"/>
              </w:rPr>
            </w:pPr>
            <w:r w:rsidRPr="007159B9">
              <w:rPr>
                <w:rFonts w:ascii="Times New Roman" w:hAnsi="Times New Roman" w:cs="Times New Roman"/>
                <w:b/>
                <w:lang w:val="uk-UA"/>
              </w:rPr>
              <w:t>10</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b/>
                <w:lang w:val="uk-UA"/>
              </w:rPr>
            </w:pPr>
            <w:r w:rsidRPr="007159B9">
              <w:rPr>
                <w:rFonts w:ascii="Times New Roman" w:hAnsi="Times New Roman" w:cs="Times New Roman"/>
                <w:b/>
                <w:lang w:val="uk-UA"/>
              </w:rPr>
              <w:t>2186</w:t>
            </w:r>
          </w:p>
        </w:tc>
      </w:tr>
      <w:tr w:rsidR="00502C42" w:rsidRPr="007159B9" w:rsidTr="00472F81">
        <w:trPr>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Сполучене королівство</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2739,8</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1,65</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45,2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705</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42724</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3022,8</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1,67</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50,5</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781</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46783</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2885,6</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1,67</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48,2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740</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44306</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2650,9</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1,69</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44,8</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683</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40412</w:t>
            </w:r>
          </w:p>
        </w:tc>
      </w:tr>
      <w:tr w:rsidR="00502C42" w:rsidRPr="007159B9" w:rsidTr="00472F81">
        <w:trPr>
          <w:trHeight w:val="21"/>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Німеччина</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3753,0</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2,82</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105,8</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1312</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46531</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3890,6</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2,87</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114,5</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1379</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48043</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3375,6</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2,92</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98,6</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1207</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41324</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3477,8</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2,94</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102,2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1242</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42233</w:t>
            </w:r>
          </w:p>
        </w:tc>
      </w:tr>
      <w:tr w:rsidR="00502C42" w:rsidRPr="007159B9" w:rsidTr="00472F81">
        <w:trPr>
          <w:trHeight w:val="21"/>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США</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16691,5</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2,73</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455,7</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1441</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52722</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17042,8</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2,73</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465,3</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1493</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54697</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18120,7</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2,74</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496,5</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1547</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56444</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18625,0</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2,74</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510,3</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1581</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57689</w:t>
            </w:r>
          </w:p>
        </w:tc>
      </w:tr>
      <w:tr w:rsidR="00502C42" w:rsidRPr="007159B9" w:rsidTr="00472F81">
        <w:trPr>
          <w:trHeight w:val="21"/>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Японія</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5155,7</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3,32</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171,2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1343</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40454</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4850,4</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3,40</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164,9</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1296</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38109</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4395,0</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3,28</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144,2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1134</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34568</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4949,3</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3,41</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168,8</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1329</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38972</w:t>
            </w:r>
          </w:p>
        </w:tc>
      </w:tr>
      <w:tr w:rsidR="00502C42" w:rsidRPr="007159B9" w:rsidTr="00472F81">
        <w:trPr>
          <w:trHeight w:val="21"/>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Швеція</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578,7</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3,31</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19,2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1995</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60283</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573,8</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3,15</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18,1</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1864</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59180</w:t>
            </w:r>
          </w:p>
        </w:tc>
      </w:tr>
      <w:tr w:rsidR="00502C42" w:rsidRPr="007159B9" w:rsidTr="00472F81">
        <w:trPr>
          <w:trHeight w:val="21"/>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497,9</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3,27</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16,3</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1662</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50812</w:t>
            </w:r>
          </w:p>
        </w:tc>
      </w:tr>
      <w:tr w:rsidR="00502C42" w:rsidRPr="007159B9" w:rsidTr="00472F81">
        <w:trPr>
          <w:trHeight w:val="25"/>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514,5</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3,26</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16,8</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1690</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51845</w:t>
            </w:r>
          </w:p>
        </w:tc>
      </w:tr>
      <w:tr w:rsidR="00502C42" w:rsidRPr="007159B9" w:rsidTr="00472F81">
        <w:trPr>
          <w:trHeight w:val="20"/>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Данія</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343,6</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2,97</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10,2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1817</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61191</w:t>
            </w:r>
          </w:p>
        </w:tc>
      </w:tr>
      <w:tr w:rsidR="00502C42" w:rsidRPr="007159B9" w:rsidTr="00472F81">
        <w:trPr>
          <w:trHeight w:val="20"/>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353,0</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2,91</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10,3</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1820</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62549</w:t>
            </w:r>
          </w:p>
        </w:tc>
      </w:tr>
      <w:tr w:rsidR="00502C42" w:rsidRPr="007159B9" w:rsidTr="00472F81">
        <w:trPr>
          <w:trHeight w:val="20"/>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301,3</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2,96</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8,9</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1569</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53013</w:t>
            </w:r>
          </w:p>
        </w:tc>
      </w:tr>
      <w:tr w:rsidR="00502C42" w:rsidRPr="007159B9" w:rsidTr="00472F81">
        <w:trPr>
          <w:trHeight w:val="20"/>
          <w:jc w:val="center"/>
        </w:trPr>
        <w:tc>
          <w:tcPr>
            <w:tcW w:w="1384" w:type="dxa"/>
            <w:vMerge/>
            <w:vAlign w:val="center"/>
          </w:tcPr>
          <w:p w:rsidR="00502C42" w:rsidRPr="007159B9" w:rsidRDefault="00502C42" w:rsidP="00502C42">
            <w:pPr>
              <w:spacing w:after="0" w:line="240" w:lineRule="auto"/>
              <w:contextualSpacing/>
              <w:jc w:val="center"/>
              <w:rPr>
                <w:rFonts w:ascii="Times New Roman" w:hAnsi="Times New Roman" w:cs="Times New Roman"/>
                <w:lang w:val="uk-UA"/>
              </w:rPr>
            </w:pP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306,9</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2,87</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8,8</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1538</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53579</w:t>
            </w:r>
          </w:p>
        </w:tc>
      </w:tr>
      <w:tr w:rsidR="00502C42" w:rsidRPr="007159B9" w:rsidTr="00472F81">
        <w:trPr>
          <w:trHeight w:val="20"/>
          <w:jc w:val="center"/>
        </w:trPr>
        <w:tc>
          <w:tcPr>
            <w:tcW w:w="1384" w:type="dxa"/>
            <w:vMerge w:val="restart"/>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Китай</w:t>
            </w:r>
          </w:p>
        </w:tc>
        <w:tc>
          <w:tcPr>
            <w:tcW w:w="1037" w:type="dxa"/>
            <w:vAlign w:val="center"/>
          </w:tcPr>
          <w:p w:rsidR="00502C42" w:rsidRPr="007159B9" w:rsidRDefault="00502C42" w:rsidP="00502C42">
            <w:pPr>
              <w:spacing w:after="0" w:line="240" w:lineRule="auto"/>
              <w:contextualSpacing/>
              <w:jc w:val="center"/>
              <w:rPr>
                <w:rFonts w:ascii="Times New Roman" w:hAnsi="Times New Roman" w:cs="Times New Roman"/>
                <w:lang w:val="en-US"/>
              </w:rPr>
            </w:pPr>
            <w:r w:rsidRPr="007159B9">
              <w:rPr>
                <w:rFonts w:ascii="Times New Roman" w:hAnsi="Times New Roman" w:cs="Times New Roman"/>
                <w:lang w:val="uk-UA"/>
              </w:rPr>
              <w:t>2013</w:t>
            </w:r>
          </w:p>
        </w:tc>
        <w:tc>
          <w:tcPr>
            <w:tcW w:w="1488" w:type="dxa"/>
            <w:vAlign w:val="center"/>
          </w:tcPr>
          <w:p w:rsidR="00502C42" w:rsidRPr="007159B9" w:rsidRDefault="00502C42" w:rsidP="00502C42">
            <w:pPr>
              <w:spacing w:after="0" w:line="240" w:lineRule="auto"/>
              <w:ind w:right="289"/>
              <w:contextualSpacing/>
              <w:jc w:val="right"/>
              <w:rPr>
                <w:rFonts w:ascii="Times New Roman" w:hAnsi="Times New Roman" w:cs="Times New Roman"/>
                <w:lang w:val="uk-UA"/>
              </w:rPr>
            </w:pPr>
            <w:r w:rsidRPr="007159B9">
              <w:rPr>
                <w:rFonts w:ascii="Times New Roman" w:hAnsi="Times New Roman" w:cs="Times New Roman"/>
                <w:lang w:val="uk-UA"/>
              </w:rPr>
              <w:t>9607,0</w:t>
            </w:r>
          </w:p>
        </w:tc>
        <w:tc>
          <w:tcPr>
            <w:tcW w:w="931" w:type="dxa"/>
            <w:vAlign w:val="center"/>
          </w:tcPr>
          <w:p w:rsidR="00502C42" w:rsidRPr="007159B9" w:rsidRDefault="00502C42" w:rsidP="00502C42">
            <w:pPr>
              <w:spacing w:after="0" w:line="240" w:lineRule="auto"/>
              <w:contextualSpacing/>
              <w:jc w:val="center"/>
              <w:rPr>
                <w:rFonts w:ascii="Times New Roman" w:hAnsi="Times New Roman" w:cs="Times New Roman"/>
                <w:lang w:val="uk-UA"/>
              </w:rPr>
            </w:pPr>
            <w:r w:rsidRPr="007159B9">
              <w:rPr>
                <w:rFonts w:ascii="Times New Roman" w:hAnsi="Times New Roman" w:cs="Times New Roman"/>
                <w:lang w:val="uk-UA"/>
              </w:rPr>
              <w:t>1,99</w:t>
            </w:r>
          </w:p>
        </w:tc>
        <w:tc>
          <w:tcPr>
            <w:tcW w:w="937" w:type="dxa"/>
            <w:vAlign w:val="center"/>
          </w:tcPr>
          <w:p w:rsidR="00502C42" w:rsidRPr="007159B9" w:rsidRDefault="00502C42" w:rsidP="00502C42">
            <w:pPr>
              <w:spacing w:after="0" w:line="240" w:lineRule="auto"/>
              <w:ind w:right="-13"/>
              <w:contextualSpacing/>
              <w:jc w:val="right"/>
              <w:rPr>
                <w:rFonts w:ascii="Times New Roman" w:hAnsi="Times New Roman" w:cs="Times New Roman"/>
                <w:lang w:val="uk-UA"/>
              </w:rPr>
            </w:pPr>
            <w:r w:rsidRPr="007159B9">
              <w:rPr>
                <w:rFonts w:ascii="Times New Roman" w:hAnsi="Times New Roman" w:cs="Times New Roman"/>
                <w:lang w:val="uk-UA"/>
              </w:rPr>
              <w:t>191,2</w:t>
            </w:r>
          </w:p>
        </w:tc>
        <w:tc>
          <w:tcPr>
            <w:tcW w:w="2275" w:type="dxa"/>
            <w:vAlign w:val="center"/>
          </w:tcPr>
          <w:p w:rsidR="00502C42" w:rsidRPr="007159B9" w:rsidRDefault="00502C42" w:rsidP="00502C42">
            <w:pPr>
              <w:spacing w:after="0" w:line="240" w:lineRule="auto"/>
              <w:ind w:right="980"/>
              <w:contextualSpacing/>
              <w:jc w:val="right"/>
              <w:rPr>
                <w:rFonts w:ascii="Times New Roman" w:hAnsi="Times New Roman" w:cs="Times New Roman"/>
                <w:lang w:val="uk-UA"/>
              </w:rPr>
            </w:pPr>
            <w:r w:rsidRPr="007159B9">
              <w:rPr>
                <w:rFonts w:ascii="Times New Roman" w:hAnsi="Times New Roman" w:cs="Times New Roman"/>
                <w:lang w:val="uk-UA"/>
              </w:rPr>
              <w:t>141</w:t>
            </w:r>
          </w:p>
        </w:tc>
        <w:tc>
          <w:tcPr>
            <w:tcW w:w="1318" w:type="dxa"/>
            <w:vAlign w:val="center"/>
          </w:tcPr>
          <w:p w:rsidR="00502C42" w:rsidRPr="007159B9" w:rsidRDefault="00502C42" w:rsidP="00502C42">
            <w:pPr>
              <w:spacing w:after="0" w:line="240" w:lineRule="auto"/>
              <w:ind w:right="170"/>
              <w:contextualSpacing/>
              <w:jc w:val="right"/>
              <w:rPr>
                <w:rFonts w:ascii="Times New Roman" w:hAnsi="Times New Roman" w:cs="Times New Roman"/>
                <w:lang w:val="uk-UA"/>
              </w:rPr>
            </w:pPr>
            <w:r w:rsidRPr="007159B9">
              <w:rPr>
                <w:rFonts w:ascii="Times New Roman" w:hAnsi="Times New Roman" w:cs="Times New Roman"/>
                <w:lang w:val="uk-UA"/>
              </w:rPr>
              <w:t>7078</w:t>
            </w:r>
          </w:p>
        </w:tc>
      </w:tr>
      <w:tr w:rsidR="00502C42" w:rsidRPr="007159B9" w:rsidTr="00472F81">
        <w:trPr>
          <w:trHeight w:val="20"/>
          <w:jc w:val="center"/>
        </w:trPr>
        <w:tc>
          <w:tcPr>
            <w:tcW w:w="1384" w:type="dxa"/>
            <w:vMerge/>
            <w:vAlign w:val="center"/>
          </w:tcPr>
          <w:p w:rsidR="00502C42" w:rsidRPr="007159B9" w:rsidRDefault="00502C42" w:rsidP="00472F81">
            <w:pPr>
              <w:contextualSpacing/>
              <w:jc w:val="center"/>
              <w:rPr>
                <w:rFonts w:ascii="Times New Roman" w:hAnsi="Times New Roman" w:cs="Times New Roman"/>
                <w:lang w:val="uk-UA"/>
              </w:rPr>
            </w:pPr>
          </w:p>
        </w:tc>
        <w:tc>
          <w:tcPr>
            <w:tcW w:w="1037" w:type="dxa"/>
            <w:vAlign w:val="center"/>
          </w:tcPr>
          <w:p w:rsidR="00502C42" w:rsidRPr="007159B9" w:rsidRDefault="00502C42" w:rsidP="00472F81">
            <w:pPr>
              <w:contextualSpacing/>
              <w:jc w:val="center"/>
              <w:rPr>
                <w:rFonts w:ascii="Times New Roman" w:hAnsi="Times New Roman" w:cs="Times New Roman"/>
                <w:lang w:val="uk-UA"/>
              </w:rPr>
            </w:pPr>
            <w:r w:rsidRPr="007159B9">
              <w:rPr>
                <w:rFonts w:ascii="Times New Roman" w:hAnsi="Times New Roman" w:cs="Times New Roman"/>
                <w:lang w:val="uk-UA"/>
              </w:rPr>
              <w:t>2014</w:t>
            </w:r>
          </w:p>
        </w:tc>
        <w:tc>
          <w:tcPr>
            <w:tcW w:w="1488" w:type="dxa"/>
            <w:vAlign w:val="center"/>
          </w:tcPr>
          <w:p w:rsidR="00502C42" w:rsidRPr="007159B9" w:rsidRDefault="00502C42" w:rsidP="00472F81">
            <w:pPr>
              <w:ind w:right="289"/>
              <w:contextualSpacing/>
              <w:jc w:val="right"/>
              <w:rPr>
                <w:rFonts w:ascii="Times New Roman" w:hAnsi="Times New Roman" w:cs="Times New Roman"/>
                <w:lang w:val="uk-UA"/>
              </w:rPr>
            </w:pPr>
            <w:r w:rsidRPr="007159B9">
              <w:rPr>
                <w:rFonts w:ascii="Times New Roman" w:hAnsi="Times New Roman" w:cs="Times New Roman"/>
                <w:lang w:val="uk-UA"/>
              </w:rPr>
              <w:t>10482,4</w:t>
            </w:r>
          </w:p>
        </w:tc>
        <w:tc>
          <w:tcPr>
            <w:tcW w:w="931" w:type="dxa"/>
            <w:vAlign w:val="center"/>
          </w:tcPr>
          <w:p w:rsidR="00502C42" w:rsidRPr="007159B9" w:rsidRDefault="00502C42" w:rsidP="00472F81">
            <w:pPr>
              <w:contextualSpacing/>
              <w:jc w:val="center"/>
              <w:rPr>
                <w:rFonts w:ascii="Times New Roman" w:hAnsi="Times New Roman" w:cs="Times New Roman"/>
                <w:lang w:val="uk-UA"/>
              </w:rPr>
            </w:pPr>
            <w:r w:rsidRPr="007159B9">
              <w:rPr>
                <w:rFonts w:ascii="Times New Roman" w:hAnsi="Times New Roman" w:cs="Times New Roman"/>
                <w:lang w:val="uk-UA"/>
              </w:rPr>
              <w:t>2,02</w:t>
            </w:r>
          </w:p>
        </w:tc>
        <w:tc>
          <w:tcPr>
            <w:tcW w:w="937" w:type="dxa"/>
            <w:vAlign w:val="center"/>
          </w:tcPr>
          <w:p w:rsidR="00502C42" w:rsidRPr="007159B9" w:rsidRDefault="00502C42" w:rsidP="00472F81">
            <w:pPr>
              <w:ind w:right="-13"/>
              <w:contextualSpacing/>
              <w:jc w:val="right"/>
              <w:rPr>
                <w:rFonts w:ascii="Times New Roman" w:hAnsi="Times New Roman" w:cs="Times New Roman"/>
                <w:lang w:val="uk-UA"/>
              </w:rPr>
            </w:pPr>
            <w:r w:rsidRPr="007159B9">
              <w:rPr>
                <w:rFonts w:ascii="Times New Roman" w:hAnsi="Times New Roman" w:cs="Times New Roman"/>
                <w:lang w:val="uk-UA"/>
              </w:rPr>
              <w:t>211,7</w:t>
            </w:r>
          </w:p>
        </w:tc>
        <w:tc>
          <w:tcPr>
            <w:tcW w:w="2275" w:type="dxa"/>
            <w:vAlign w:val="center"/>
          </w:tcPr>
          <w:p w:rsidR="00502C42" w:rsidRPr="007159B9" w:rsidRDefault="00502C42" w:rsidP="00472F81">
            <w:pPr>
              <w:ind w:right="980"/>
              <w:contextualSpacing/>
              <w:jc w:val="right"/>
              <w:rPr>
                <w:rFonts w:ascii="Times New Roman" w:hAnsi="Times New Roman" w:cs="Times New Roman"/>
                <w:lang w:val="uk-UA"/>
              </w:rPr>
            </w:pPr>
            <w:r w:rsidRPr="007159B9">
              <w:rPr>
                <w:rFonts w:ascii="Times New Roman" w:hAnsi="Times New Roman" w:cs="Times New Roman"/>
                <w:lang w:val="uk-UA"/>
              </w:rPr>
              <w:t>155</w:t>
            </w:r>
          </w:p>
        </w:tc>
        <w:tc>
          <w:tcPr>
            <w:tcW w:w="1318" w:type="dxa"/>
            <w:vAlign w:val="center"/>
          </w:tcPr>
          <w:p w:rsidR="00502C42" w:rsidRPr="007159B9" w:rsidRDefault="00502C42" w:rsidP="00472F81">
            <w:pPr>
              <w:ind w:right="170"/>
              <w:contextualSpacing/>
              <w:jc w:val="right"/>
              <w:rPr>
                <w:rFonts w:ascii="Times New Roman" w:hAnsi="Times New Roman" w:cs="Times New Roman"/>
                <w:lang w:val="uk-UA"/>
              </w:rPr>
            </w:pPr>
            <w:r w:rsidRPr="007159B9">
              <w:rPr>
                <w:rFonts w:ascii="Times New Roman" w:hAnsi="Times New Roman" w:cs="Times New Roman"/>
                <w:lang w:val="uk-UA"/>
              </w:rPr>
              <w:t>7684</w:t>
            </w:r>
          </w:p>
        </w:tc>
      </w:tr>
      <w:tr w:rsidR="00502C42" w:rsidRPr="007159B9" w:rsidTr="00472F81">
        <w:trPr>
          <w:trHeight w:val="20"/>
          <w:jc w:val="center"/>
        </w:trPr>
        <w:tc>
          <w:tcPr>
            <w:tcW w:w="1384" w:type="dxa"/>
            <w:vMerge/>
            <w:vAlign w:val="center"/>
          </w:tcPr>
          <w:p w:rsidR="00502C42" w:rsidRPr="007159B9" w:rsidRDefault="00502C42" w:rsidP="00472F81">
            <w:pPr>
              <w:contextualSpacing/>
              <w:jc w:val="center"/>
              <w:rPr>
                <w:rFonts w:ascii="Times New Roman" w:hAnsi="Times New Roman" w:cs="Times New Roman"/>
                <w:lang w:val="uk-UA"/>
              </w:rPr>
            </w:pPr>
          </w:p>
        </w:tc>
        <w:tc>
          <w:tcPr>
            <w:tcW w:w="1037" w:type="dxa"/>
            <w:vAlign w:val="center"/>
          </w:tcPr>
          <w:p w:rsidR="00502C42" w:rsidRPr="007159B9" w:rsidRDefault="00502C42" w:rsidP="00472F81">
            <w:pPr>
              <w:contextualSpacing/>
              <w:jc w:val="center"/>
              <w:rPr>
                <w:rFonts w:ascii="Times New Roman" w:hAnsi="Times New Roman" w:cs="Times New Roman"/>
                <w:lang w:val="uk-UA"/>
              </w:rPr>
            </w:pPr>
            <w:r w:rsidRPr="007159B9">
              <w:rPr>
                <w:rFonts w:ascii="Times New Roman" w:hAnsi="Times New Roman" w:cs="Times New Roman"/>
                <w:lang w:val="uk-UA"/>
              </w:rPr>
              <w:t>2015</w:t>
            </w:r>
          </w:p>
        </w:tc>
        <w:tc>
          <w:tcPr>
            <w:tcW w:w="1488" w:type="dxa"/>
            <w:vAlign w:val="center"/>
          </w:tcPr>
          <w:p w:rsidR="00502C42" w:rsidRPr="007159B9" w:rsidRDefault="00502C42" w:rsidP="00472F81">
            <w:pPr>
              <w:ind w:right="289"/>
              <w:contextualSpacing/>
              <w:jc w:val="right"/>
              <w:rPr>
                <w:rFonts w:ascii="Times New Roman" w:hAnsi="Times New Roman" w:cs="Times New Roman"/>
                <w:lang w:val="uk-UA"/>
              </w:rPr>
            </w:pPr>
            <w:r w:rsidRPr="007159B9">
              <w:rPr>
                <w:rFonts w:ascii="Times New Roman" w:hAnsi="Times New Roman" w:cs="Times New Roman"/>
                <w:lang w:val="uk-UA"/>
              </w:rPr>
              <w:t>11064,7</w:t>
            </w:r>
          </w:p>
        </w:tc>
        <w:tc>
          <w:tcPr>
            <w:tcW w:w="931" w:type="dxa"/>
            <w:vAlign w:val="center"/>
          </w:tcPr>
          <w:p w:rsidR="00502C42" w:rsidRPr="007159B9" w:rsidRDefault="00502C42" w:rsidP="00472F81">
            <w:pPr>
              <w:contextualSpacing/>
              <w:jc w:val="center"/>
              <w:rPr>
                <w:rFonts w:ascii="Times New Roman" w:hAnsi="Times New Roman" w:cs="Times New Roman"/>
                <w:lang w:val="uk-UA"/>
              </w:rPr>
            </w:pPr>
            <w:r w:rsidRPr="007159B9">
              <w:rPr>
                <w:rFonts w:ascii="Times New Roman" w:hAnsi="Times New Roman" w:cs="Times New Roman"/>
                <w:lang w:val="uk-UA"/>
              </w:rPr>
              <w:t>2,05</w:t>
            </w:r>
          </w:p>
        </w:tc>
        <w:tc>
          <w:tcPr>
            <w:tcW w:w="937" w:type="dxa"/>
            <w:vAlign w:val="center"/>
          </w:tcPr>
          <w:p w:rsidR="00502C42" w:rsidRPr="007159B9" w:rsidRDefault="00502C42" w:rsidP="00472F81">
            <w:pPr>
              <w:ind w:right="-13"/>
              <w:contextualSpacing/>
              <w:jc w:val="right"/>
              <w:rPr>
                <w:rFonts w:ascii="Times New Roman" w:hAnsi="Times New Roman" w:cs="Times New Roman"/>
                <w:lang w:val="uk-UA"/>
              </w:rPr>
            </w:pPr>
            <w:r w:rsidRPr="007159B9">
              <w:rPr>
                <w:rFonts w:ascii="Times New Roman" w:hAnsi="Times New Roman" w:cs="Times New Roman"/>
                <w:lang w:val="uk-UA"/>
              </w:rPr>
              <w:t>226,8</w:t>
            </w:r>
          </w:p>
        </w:tc>
        <w:tc>
          <w:tcPr>
            <w:tcW w:w="2275" w:type="dxa"/>
            <w:vAlign w:val="center"/>
          </w:tcPr>
          <w:p w:rsidR="00502C42" w:rsidRPr="007159B9" w:rsidRDefault="00502C42" w:rsidP="00472F81">
            <w:pPr>
              <w:ind w:right="980"/>
              <w:contextualSpacing/>
              <w:jc w:val="right"/>
              <w:rPr>
                <w:rFonts w:ascii="Times New Roman" w:hAnsi="Times New Roman" w:cs="Times New Roman"/>
                <w:lang w:val="uk-UA"/>
              </w:rPr>
            </w:pPr>
            <w:r w:rsidRPr="007159B9">
              <w:rPr>
                <w:rFonts w:ascii="Times New Roman" w:hAnsi="Times New Roman" w:cs="Times New Roman"/>
                <w:lang w:val="uk-UA"/>
              </w:rPr>
              <w:t>165</w:t>
            </w:r>
          </w:p>
        </w:tc>
        <w:tc>
          <w:tcPr>
            <w:tcW w:w="1318" w:type="dxa"/>
            <w:vAlign w:val="center"/>
          </w:tcPr>
          <w:p w:rsidR="00502C42" w:rsidRPr="007159B9" w:rsidRDefault="00502C42" w:rsidP="00472F81">
            <w:pPr>
              <w:ind w:right="170"/>
              <w:contextualSpacing/>
              <w:jc w:val="right"/>
              <w:rPr>
                <w:rFonts w:ascii="Times New Roman" w:hAnsi="Times New Roman" w:cs="Times New Roman"/>
                <w:lang w:val="uk-UA"/>
              </w:rPr>
            </w:pPr>
            <w:r w:rsidRPr="007159B9">
              <w:rPr>
                <w:rFonts w:ascii="Times New Roman" w:hAnsi="Times New Roman" w:cs="Times New Roman"/>
                <w:lang w:val="uk-UA"/>
              </w:rPr>
              <w:t>8069</w:t>
            </w:r>
          </w:p>
        </w:tc>
      </w:tr>
      <w:tr w:rsidR="00502C42" w:rsidRPr="007159B9" w:rsidTr="00472F81">
        <w:trPr>
          <w:trHeight w:val="20"/>
          <w:jc w:val="center"/>
        </w:trPr>
        <w:tc>
          <w:tcPr>
            <w:tcW w:w="1384" w:type="dxa"/>
            <w:vMerge/>
            <w:vAlign w:val="center"/>
          </w:tcPr>
          <w:p w:rsidR="00502C42" w:rsidRPr="007159B9" w:rsidRDefault="00502C42" w:rsidP="00472F81">
            <w:pPr>
              <w:contextualSpacing/>
              <w:jc w:val="center"/>
              <w:rPr>
                <w:rFonts w:ascii="Times New Roman" w:hAnsi="Times New Roman" w:cs="Times New Roman"/>
                <w:lang w:val="uk-UA"/>
              </w:rPr>
            </w:pPr>
          </w:p>
        </w:tc>
        <w:tc>
          <w:tcPr>
            <w:tcW w:w="1037" w:type="dxa"/>
            <w:vAlign w:val="center"/>
          </w:tcPr>
          <w:p w:rsidR="00502C42" w:rsidRPr="007159B9" w:rsidRDefault="00502C42" w:rsidP="00472F81">
            <w:pPr>
              <w:contextualSpacing/>
              <w:jc w:val="center"/>
              <w:rPr>
                <w:rFonts w:ascii="Times New Roman" w:hAnsi="Times New Roman" w:cs="Times New Roman"/>
                <w:lang w:val="uk-UA"/>
              </w:rPr>
            </w:pPr>
            <w:r w:rsidRPr="007159B9">
              <w:rPr>
                <w:rFonts w:ascii="Times New Roman" w:hAnsi="Times New Roman" w:cs="Times New Roman"/>
                <w:lang w:val="uk-UA"/>
              </w:rPr>
              <w:t>2016</w:t>
            </w:r>
          </w:p>
        </w:tc>
        <w:tc>
          <w:tcPr>
            <w:tcW w:w="1488" w:type="dxa"/>
            <w:vAlign w:val="center"/>
          </w:tcPr>
          <w:p w:rsidR="00502C42" w:rsidRPr="007159B9" w:rsidRDefault="00502C42" w:rsidP="00472F81">
            <w:pPr>
              <w:ind w:right="289"/>
              <w:contextualSpacing/>
              <w:jc w:val="right"/>
              <w:rPr>
                <w:rFonts w:ascii="Times New Roman" w:hAnsi="Times New Roman" w:cs="Times New Roman"/>
                <w:lang w:val="uk-UA"/>
              </w:rPr>
            </w:pPr>
            <w:r w:rsidRPr="007159B9">
              <w:rPr>
                <w:rFonts w:ascii="Times New Roman" w:hAnsi="Times New Roman" w:cs="Times New Roman"/>
                <w:lang w:val="uk-UA"/>
              </w:rPr>
              <w:t>11101,0</w:t>
            </w:r>
          </w:p>
        </w:tc>
        <w:tc>
          <w:tcPr>
            <w:tcW w:w="931" w:type="dxa"/>
            <w:vAlign w:val="center"/>
          </w:tcPr>
          <w:p w:rsidR="00502C42" w:rsidRPr="007159B9" w:rsidRDefault="00502C42" w:rsidP="00472F81">
            <w:pPr>
              <w:contextualSpacing/>
              <w:jc w:val="center"/>
              <w:rPr>
                <w:rFonts w:ascii="Times New Roman" w:hAnsi="Times New Roman" w:cs="Times New Roman"/>
                <w:lang w:val="uk-UA"/>
              </w:rPr>
            </w:pPr>
            <w:r w:rsidRPr="007159B9">
              <w:rPr>
                <w:rFonts w:ascii="Times New Roman" w:hAnsi="Times New Roman" w:cs="Times New Roman"/>
                <w:lang w:val="uk-UA"/>
              </w:rPr>
              <w:t>2,11</w:t>
            </w:r>
          </w:p>
        </w:tc>
        <w:tc>
          <w:tcPr>
            <w:tcW w:w="937" w:type="dxa"/>
            <w:vAlign w:val="center"/>
          </w:tcPr>
          <w:p w:rsidR="00502C42" w:rsidRPr="007159B9" w:rsidRDefault="00502C42" w:rsidP="00472F81">
            <w:pPr>
              <w:ind w:right="-13"/>
              <w:contextualSpacing/>
              <w:jc w:val="right"/>
              <w:rPr>
                <w:rFonts w:ascii="Times New Roman" w:hAnsi="Times New Roman" w:cs="Times New Roman"/>
                <w:lang w:val="uk-UA"/>
              </w:rPr>
            </w:pPr>
            <w:r w:rsidRPr="007159B9">
              <w:rPr>
                <w:rFonts w:ascii="Times New Roman" w:hAnsi="Times New Roman" w:cs="Times New Roman"/>
                <w:lang w:val="uk-UA"/>
              </w:rPr>
              <w:t>236,1</w:t>
            </w:r>
          </w:p>
        </w:tc>
        <w:tc>
          <w:tcPr>
            <w:tcW w:w="2275" w:type="dxa"/>
            <w:vAlign w:val="center"/>
          </w:tcPr>
          <w:p w:rsidR="00502C42" w:rsidRPr="007159B9" w:rsidRDefault="00502C42" w:rsidP="00472F81">
            <w:pPr>
              <w:ind w:right="980"/>
              <w:contextualSpacing/>
              <w:jc w:val="right"/>
              <w:rPr>
                <w:rFonts w:ascii="Times New Roman" w:hAnsi="Times New Roman" w:cs="Times New Roman"/>
                <w:lang w:val="uk-UA"/>
              </w:rPr>
            </w:pPr>
            <w:r w:rsidRPr="007159B9">
              <w:rPr>
                <w:rFonts w:ascii="Times New Roman" w:hAnsi="Times New Roman" w:cs="Times New Roman"/>
                <w:lang w:val="uk-UA"/>
              </w:rPr>
              <w:t>171</w:t>
            </w:r>
          </w:p>
        </w:tc>
        <w:tc>
          <w:tcPr>
            <w:tcW w:w="1318" w:type="dxa"/>
            <w:vAlign w:val="center"/>
          </w:tcPr>
          <w:p w:rsidR="00502C42" w:rsidRPr="007159B9" w:rsidRDefault="00502C42" w:rsidP="00472F81">
            <w:pPr>
              <w:ind w:right="170"/>
              <w:contextualSpacing/>
              <w:jc w:val="right"/>
              <w:rPr>
                <w:rFonts w:ascii="Times New Roman" w:hAnsi="Times New Roman" w:cs="Times New Roman"/>
                <w:lang w:val="uk-UA"/>
              </w:rPr>
            </w:pPr>
            <w:r w:rsidRPr="007159B9">
              <w:rPr>
                <w:rFonts w:ascii="Times New Roman" w:hAnsi="Times New Roman" w:cs="Times New Roman"/>
                <w:lang w:val="uk-UA"/>
              </w:rPr>
              <w:t>8117</w:t>
            </w:r>
          </w:p>
        </w:tc>
      </w:tr>
    </w:tbl>
    <w:p w:rsidR="00502C42" w:rsidRPr="007159B9" w:rsidRDefault="00502C42" w:rsidP="00502C42">
      <w:pPr>
        <w:rPr>
          <w:rFonts w:ascii="Times New Roman" w:hAnsi="Times New Roman" w:cs="Times New Roman"/>
          <w:lang w:val="uk-UA"/>
        </w:rPr>
      </w:pP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Наступною складовою фінансової безпеки є </w:t>
      </w:r>
      <w:r w:rsidRPr="007159B9">
        <w:rPr>
          <w:rFonts w:ascii="Times New Roman" w:eastAsia="Times New Roman" w:hAnsi="Times New Roman" w:cs="Times New Roman"/>
          <w:b/>
          <w:bCs/>
          <w:i/>
          <w:iCs/>
          <w:sz w:val="28"/>
          <w:szCs w:val="28"/>
          <w:lang w:val="uk-UA" w:eastAsia="ru-RU"/>
        </w:rPr>
        <w:t>енергетична складова</w:t>
      </w:r>
      <w:r w:rsidRPr="007159B9">
        <w:rPr>
          <w:rFonts w:ascii="Times New Roman" w:eastAsia="Times New Roman" w:hAnsi="Times New Roman" w:cs="Times New Roman"/>
          <w:sz w:val="28"/>
          <w:szCs w:val="28"/>
          <w:lang w:val="uk-UA" w:eastAsia="ru-RU"/>
        </w:rPr>
        <w:t xml:space="preserve">. Енергетична безпека передбачає повне, безперебійне забезпечення потреб всіх суб’єктів економічної діяльності держави, домогосподарств і всіх інших споживачів в доступних за цінами енергетичних ресурсах. Основними видами енергетичних ресурсів на нинішньому історичному етапі розвитку економічної діяльності людства є газ природний, вугілля кам’яне, продукти переробки нафти, електроенергія.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lastRenderedPageBreak/>
        <w:t xml:space="preserve">Впродовж досліджуваного періоду відбулося значне падіння обсягів добування всіх основних паливно-енергетичних корисних копалин – вугілля кам’яного, нафти, газу природнього. У 1990 р. видобуток вугілля кам’яного становив 164,8 млн. т. В усі наступні роки видобуток вугілля невпинно зменшувався великими темпами. Лише за 1991 – 1995 рр. видобуток вугілля кам’яного зменшився майже у два рази – до 83,9 млн. т.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У 2010 р. він становив 55,0 млн. т, а у 2016 р. – лише 31,6 млн. т, що у 5,2 рази менше в порівнянні з 1990 р. За 2018 р. вугледобувними підприємствами України було видобуто 33,3 млн. т вугілля, у тому числі – 5,8 млн. т коксівного. У  2018 р. видобуток вугілля зменшився у п’ять разів порівняно з 1990 р.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При такому обвальному зменшенні видобутку вугілля кам’яного Україна тепер не забезпечує свої, навіть, мінімальні потреби у цьому виді палива і для забезпечення теплових електростанцій почала імпортувати вугілля із США і африканського континенту.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Згідно з Енергетичною стратегією України на період до 2035 року «Безпека, енергоефективність, конкурентоспроможність», Уряд активно, поспішно впроваджує заходи по «закриттю/консервації» «державних збиткових» вугільних шахт. В подальшому «перспективні» «закриті/законсервовані» вугільні шахти заплановано приватизувати. Енергетичною стратегією України приводом для «закриття/консервації» державних вугільних шахт визначена їх збитковість.</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Вважаємо доречним привести деякий зарубіжний досвід вирішення подібних питань національної безпеки.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Японія для гарантованої підтримки своїх вітчизняних виробників постійно проводить надійний захист внутрішнього ринку, впроваджує різноманітні фінансові стимули для забезпечення успішного розвитку національної економіки. Так, для  гарантованої підтримки своїх вітчизняних виробників сільськогосподарської продукції Японія субсидує закупки рису лише у своїх селян за цінами іноді у 8 разів вищими від цін на світовому </w:t>
      </w:r>
      <w:r w:rsidRPr="007159B9">
        <w:rPr>
          <w:rFonts w:ascii="Times New Roman" w:eastAsia="Times New Roman" w:hAnsi="Times New Roman" w:cs="Times New Roman"/>
          <w:sz w:val="28"/>
          <w:szCs w:val="28"/>
          <w:lang w:val="uk-UA" w:eastAsia="ru-RU"/>
        </w:rPr>
        <w:lastRenderedPageBreak/>
        <w:t>ринку. Науковці-економісти застерігають, що «…лобове протиставлення державної і приватної власності є дуже сумнівним. Державна власність в умовах ринкової економіки також може бути ефективною, як і не державна».</w:t>
      </w:r>
      <w:r w:rsidRPr="007159B9">
        <w:rPr>
          <w:rFonts w:ascii="Times New Roman" w:eastAsia="Times New Roman" w:hAnsi="Times New Roman" w:cs="Times New Roman"/>
          <w:sz w:val="28"/>
          <w:szCs w:val="28"/>
          <w:lang w:val="uk-UA" w:eastAsia="ru-RU"/>
        </w:rPr>
        <w:tab/>
        <w:t xml:space="preserve">Як зазначають науковці, приватизація підприємств не може бути самоціллю. «Приватне» ще не означає ефективне.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0"/>
          <w:szCs w:val="20"/>
          <w:lang w:val="uk-UA" w:eastAsia="ru-RU"/>
        </w:rPr>
      </w:pPr>
      <w:r w:rsidRPr="007159B9">
        <w:rPr>
          <w:rFonts w:ascii="Times New Roman" w:eastAsia="Times New Roman" w:hAnsi="Times New Roman" w:cs="Times New Roman"/>
          <w:sz w:val="28"/>
          <w:szCs w:val="28"/>
          <w:lang w:val="uk-UA" w:eastAsia="ru-RU"/>
        </w:rPr>
        <w:t xml:space="preserve">Відносини власності в країні є значною мірою деформованими, непрозорими, вони регулюються не ринковими механізмами і нормами закону, а неформальними домовленостями та вибірковим застосування чинного законодавства. Всі  закони щодо прав власності мають бути дуже чіткими, вільними від будь-якої непевності, усі деталі угод з власністю повинні бути прозорими а імена їх учасники відомими для суспільства».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Як закріплено ст. 13 Конституції України,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 Вважаємо було б доцільним проведення всебічного, ретельного аналізу причин збитковості державних вугільних шахт, визначення й впровадження системи дієвих заходів по підвищенню ефективності їх роботи задля відновлення цієї складової фінансової</w:t>
      </w:r>
      <w:r w:rsidR="009D3DC3" w:rsidRPr="007159B9">
        <w:rPr>
          <w:rFonts w:ascii="Times New Roman" w:eastAsia="Times New Roman" w:hAnsi="Times New Roman" w:cs="Times New Roman"/>
          <w:sz w:val="28"/>
          <w:szCs w:val="28"/>
          <w:lang w:val="uk-UA" w:eastAsia="ru-RU"/>
        </w:rPr>
        <w:t>, економічної та енергетичної</w:t>
      </w:r>
      <w:r w:rsidRPr="007159B9">
        <w:rPr>
          <w:rFonts w:ascii="Times New Roman" w:eastAsia="Times New Roman" w:hAnsi="Times New Roman" w:cs="Times New Roman"/>
          <w:sz w:val="28"/>
          <w:szCs w:val="28"/>
          <w:lang w:val="uk-UA" w:eastAsia="ru-RU"/>
        </w:rPr>
        <w:t xml:space="preserve"> безпеки України.</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Добування нафти в Україні з 5,3 млн. т. у 1990 р. постійно зменшувалося до 4,1 млн. т у 1995 р., 3,6 млн. т у 2010 р. і 2,3 млн. т у 2016 р. У 2017 р. і у 2018 р. видобуток нафти з газовим конденсатом становив відповідно 2,1 млн. т і 2,2 млн. т. За досліджуваний період добування нафти зменшилося у 2,3 рази.</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Суттєво зменшилося також добування газу природного.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У 1990 р. видобуток газу становив 28,1 млрд. куб. м, а у 2016 р. – відповідно 20,1 млрд. куб. м, або на 28,5% менше. Україна наразі не забезпечує власним видобутком свої потреби ані у вугіллі, ані у газі </w:t>
      </w:r>
      <w:r w:rsidRPr="007159B9">
        <w:rPr>
          <w:rFonts w:ascii="Times New Roman" w:eastAsia="Times New Roman" w:hAnsi="Times New Roman" w:cs="Times New Roman"/>
          <w:sz w:val="28"/>
          <w:szCs w:val="28"/>
          <w:lang w:val="uk-UA" w:eastAsia="ru-RU"/>
        </w:rPr>
        <w:lastRenderedPageBreak/>
        <w:t xml:space="preserve">природному, ані у нафті, а імпорт цих основних паливно-енергетичних ресурсів потребує значних, дефіцитних в Україні,  валютних коштів.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Макроекономічна статистика переконливо свідчить про те, що чим більше в державі використовується електроенергії, тим більше виробляється товарів, продуктів, тим більше створюється для громадян благ. Загальний обсяг виробленої електроенергії в Україні у 1990 р. становив 298,5 млрд. кВт.год.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Впродовж періоду реформування економіки загальне виробництво електроенергії постійно і значно зменшувалося; лише за перші 10 років її виробництво в країні зменшилося до 171,4 млрд. кВт.год., або більш, ніж на 42%. Значне зменшення виробництва електроенергії відбувалося і в наступний період.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У 2017 р. загальний обсяг виробництва електроенергії в Україні становив 156,0 млрд. кВт.год., що майже на 48% менше у порівнянні з 1990 р., а у 2018 р. виробництво електроенергії всіма електростанціями, які входять до Об’єднаної енергетичної системи (ОЕС) України склало 159,4 млрд. кВт.-год.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Впродовж досліджуваного періоду (1990 – 2017 рр.) виробництво електроенергії на теплових електростанціях зменшилося з 211,6 млрд. кВт.год до 58,8 млрд. кВт.год., або в 3,6 рази.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Виробництво електроенергії на атомних електростанціях за вказаний період зросло на 8,2 млрд. кВт.год. або на 10,8% з 76,2 млрд. кВт.год. у 1990 р. до 84,4 млрд. кВт.год у 2018 р.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Виробництво електроенергії на гідроелектростанціях України за досліджуваний період зросло на 12,1%. Отже з 1990 р. до 2018 р. в країні загальний обсяг виробництва електроенергії зменшився з 298,5 млрд. кВт.год. до 159,4 млрд. кВт.год., або майже на 47%, що однозначно свідчить про масштабну деелектрифікацію та втрату позицій фінансової безпеки.</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Слід зауважити, що саме обсяги виробництва і споживання електроенергії, перш за все, свідчать про рівень розвитку промисловості, </w:t>
      </w:r>
      <w:r w:rsidRPr="007159B9">
        <w:rPr>
          <w:rFonts w:ascii="Times New Roman" w:eastAsia="Times New Roman" w:hAnsi="Times New Roman" w:cs="Times New Roman"/>
          <w:sz w:val="28"/>
          <w:szCs w:val="28"/>
          <w:lang w:val="uk-UA" w:eastAsia="ru-RU"/>
        </w:rPr>
        <w:lastRenderedPageBreak/>
        <w:t>тому вельми актуальним є вирішення завдання удосконалення управління економічним механізмом великих промислових підприємств в контексті фінансової</w:t>
      </w:r>
      <w:r w:rsidR="009D3DC3" w:rsidRPr="007159B9">
        <w:rPr>
          <w:rFonts w:ascii="Times New Roman" w:eastAsia="Times New Roman" w:hAnsi="Times New Roman" w:cs="Times New Roman"/>
          <w:sz w:val="28"/>
          <w:szCs w:val="28"/>
          <w:lang w:val="uk-UA" w:eastAsia="ru-RU"/>
        </w:rPr>
        <w:t>, економічної та енергетичної</w:t>
      </w:r>
      <w:r w:rsidRPr="007159B9">
        <w:rPr>
          <w:rFonts w:ascii="Times New Roman" w:eastAsia="Times New Roman" w:hAnsi="Times New Roman" w:cs="Times New Roman"/>
          <w:sz w:val="28"/>
          <w:szCs w:val="28"/>
          <w:lang w:val="uk-UA" w:eastAsia="ru-RU"/>
        </w:rPr>
        <w:t xml:space="preserve"> безпеки.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Загальний обсяг виробництва електроенергії в Німеччині з 440 млрд. кВт.год. у 1990 р. збільшився до 648 млрд. кВт.год. у 2016 р., або на 47,4%, у Франції – відповідно з 420,0 млрд. кВт.год. до 553,4 млрд. кВт.год., або на 31,8%. Виробництво електроенергії в Італії за вказаний період зросло на 32,9%, у США – відповідно на 37,2%. Значно зросло також виробництво електроенергії впродовж останніх двох десятиліть у Канаді, Японії, Російській Федерації, Швеції, Фінляндії, Норвегії.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У 2017 р. Кабінет Міністрів України схвалив Енергетичну стратегію України на період до 2035 року. Цей урядовий документ мав би накреслити чіткий довгостроковий план дій забезпечення енергетичної незалежності і безпеки, як важливої складової загальної економічної безпеки держави. Однак, схвалена Кабінетом Міністрів України Енергетична стратегія України на період до 2035 року «Безпека, енергоефективність, конкурентоспроможність», на нашу думку, є, в основному, проголошенням декларативних намірів прогнозного функціонування паливно-енергетичного сектору держави з невизначеною стратегією розвитку національної економіки.</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 Енергетичній стратегії України на період до 2035 року (ЕСУ) відсутній аналіз динаміки виробництва і споживання енергетичних ресурсів впродовж періоду реформування економіки, відсутня оцінка достатності нинішніх обсягів видобутку, виробництва й споживання енергетичних ресурсів у країні. </w:t>
      </w:r>
    </w:p>
    <w:p w:rsidR="009D3DC3"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В ЕСУ відсутнє обґрунтування прогнозних потреб України в електроенергії та інших енергетичних ресурсах на період до 2035 р. Розробники документу це пояснюють відсутністю на час його розробки довгострокового прогнозу соціально-економічного розвитку держави та високим рівнем політичної й економічної невизначеності у країні. За </w:t>
      </w:r>
      <w:r w:rsidRPr="007159B9">
        <w:rPr>
          <w:rFonts w:ascii="Times New Roman" w:eastAsia="Times New Roman" w:hAnsi="Times New Roman" w:cs="Times New Roman"/>
          <w:sz w:val="28"/>
          <w:szCs w:val="28"/>
          <w:lang w:val="uk-UA" w:eastAsia="ru-RU"/>
        </w:rPr>
        <w:lastRenderedPageBreak/>
        <w:t xml:space="preserve">відсутності показників соціально-економічного розвитку держави на довгострокову перспективу в ЕСУ, без будь-якого обґрунтування, планується досягти зниження енергоємності ВВП більш, ніж у два рази, до 2035 р. </w:t>
      </w:r>
    </w:p>
    <w:p w:rsidR="009D3DC3" w:rsidRPr="007159B9" w:rsidRDefault="009D3DC3" w:rsidP="008C4E03">
      <w:pPr>
        <w:spacing w:after="0" w:line="360" w:lineRule="auto"/>
        <w:ind w:firstLine="708"/>
        <w:contextualSpacing/>
        <w:jc w:val="center"/>
        <w:rPr>
          <w:rFonts w:ascii="Times New Roman" w:eastAsia="Times New Roman" w:hAnsi="Times New Roman" w:cs="Times New Roman"/>
          <w:b/>
          <w:sz w:val="28"/>
          <w:szCs w:val="28"/>
          <w:lang w:val="uk-UA" w:eastAsia="ru-RU"/>
        </w:rPr>
      </w:pPr>
    </w:p>
    <w:p w:rsidR="00B31EC1" w:rsidRPr="007159B9" w:rsidRDefault="00B31EC1" w:rsidP="008C4E03">
      <w:pPr>
        <w:spacing w:after="0" w:line="360" w:lineRule="auto"/>
        <w:ind w:firstLine="708"/>
        <w:contextualSpacing/>
        <w:jc w:val="center"/>
        <w:rPr>
          <w:rFonts w:ascii="Times New Roman" w:eastAsia="Times New Roman" w:hAnsi="Times New Roman" w:cs="Times New Roman"/>
          <w:b/>
          <w:sz w:val="28"/>
          <w:szCs w:val="28"/>
          <w:lang w:val="uk-UA" w:eastAsia="ru-RU"/>
        </w:rPr>
      </w:pPr>
      <w:r w:rsidRPr="007159B9">
        <w:rPr>
          <w:rFonts w:ascii="Times New Roman" w:eastAsia="Times New Roman" w:hAnsi="Times New Roman" w:cs="Times New Roman"/>
          <w:b/>
          <w:sz w:val="28"/>
          <w:szCs w:val="28"/>
          <w:lang w:val="uk-UA" w:eastAsia="ru-RU"/>
        </w:rPr>
        <w:t xml:space="preserve">Орієнтовний прогноз виробництва електроенергії в Україні </w:t>
      </w:r>
    </w:p>
    <w:p w:rsidR="00B31EC1" w:rsidRPr="007159B9" w:rsidRDefault="00B31EC1" w:rsidP="008C4E03">
      <w:pPr>
        <w:spacing w:after="0" w:line="360" w:lineRule="auto"/>
        <w:ind w:firstLine="708"/>
        <w:contextualSpacing/>
        <w:jc w:val="center"/>
        <w:rPr>
          <w:rFonts w:ascii="Times New Roman" w:eastAsia="Times New Roman" w:hAnsi="Times New Roman" w:cs="Times New Roman"/>
          <w:b/>
          <w:sz w:val="28"/>
          <w:szCs w:val="28"/>
          <w:lang w:val="uk-UA" w:eastAsia="ru-RU"/>
        </w:rPr>
      </w:pPr>
      <w:r w:rsidRPr="007159B9">
        <w:rPr>
          <w:rFonts w:ascii="Times New Roman" w:eastAsia="Times New Roman" w:hAnsi="Times New Roman" w:cs="Times New Roman"/>
          <w:b/>
          <w:sz w:val="28"/>
          <w:szCs w:val="28"/>
          <w:lang w:val="uk-UA" w:eastAsia="ru-RU"/>
        </w:rPr>
        <w:t>на період до 2035 р., млрд. кВт.-год.</w:t>
      </w:r>
    </w:p>
    <w:tbl>
      <w:tblPr>
        <w:tblStyle w:val="1"/>
        <w:tblW w:w="0" w:type="auto"/>
        <w:tblInd w:w="137" w:type="dxa"/>
        <w:tblLook w:val="04A0"/>
      </w:tblPr>
      <w:tblGrid>
        <w:gridCol w:w="2268"/>
        <w:gridCol w:w="1069"/>
        <w:gridCol w:w="1134"/>
        <w:gridCol w:w="992"/>
        <w:gridCol w:w="993"/>
        <w:gridCol w:w="1271"/>
        <w:gridCol w:w="1279"/>
      </w:tblGrid>
      <w:tr w:rsidR="00B31EC1" w:rsidRPr="007159B9" w:rsidTr="00472F81">
        <w:tc>
          <w:tcPr>
            <w:tcW w:w="2268"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Джерела генерації електроенергії</w:t>
            </w:r>
          </w:p>
        </w:tc>
        <w:tc>
          <w:tcPr>
            <w:tcW w:w="106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2015 р.</w:t>
            </w:r>
          </w:p>
        </w:tc>
        <w:tc>
          <w:tcPr>
            <w:tcW w:w="1134"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2020 р.</w:t>
            </w:r>
          </w:p>
        </w:tc>
        <w:tc>
          <w:tcPr>
            <w:tcW w:w="992"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2025 р.</w:t>
            </w:r>
          </w:p>
        </w:tc>
        <w:tc>
          <w:tcPr>
            <w:tcW w:w="993"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2030 р.</w:t>
            </w:r>
          </w:p>
        </w:tc>
        <w:tc>
          <w:tcPr>
            <w:tcW w:w="1271"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2035 р.</w:t>
            </w:r>
          </w:p>
        </w:tc>
        <w:tc>
          <w:tcPr>
            <w:tcW w:w="127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2035 р. у % до 2015 р.</w:t>
            </w:r>
          </w:p>
        </w:tc>
      </w:tr>
      <w:tr w:rsidR="00B31EC1" w:rsidRPr="007159B9" w:rsidTr="00472F81">
        <w:tc>
          <w:tcPr>
            <w:tcW w:w="2268"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АЕС</w:t>
            </w:r>
          </w:p>
        </w:tc>
        <w:tc>
          <w:tcPr>
            <w:tcW w:w="106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87,6</w:t>
            </w:r>
          </w:p>
        </w:tc>
        <w:tc>
          <w:tcPr>
            <w:tcW w:w="1134"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85</w:t>
            </w:r>
          </w:p>
        </w:tc>
        <w:tc>
          <w:tcPr>
            <w:tcW w:w="992"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91</w:t>
            </w:r>
          </w:p>
        </w:tc>
        <w:tc>
          <w:tcPr>
            <w:tcW w:w="993"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93</w:t>
            </w:r>
          </w:p>
        </w:tc>
        <w:tc>
          <w:tcPr>
            <w:tcW w:w="1271"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94</w:t>
            </w:r>
          </w:p>
        </w:tc>
        <w:tc>
          <w:tcPr>
            <w:tcW w:w="127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107,3</w:t>
            </w:r>
          </w:p>
        </w:tc>
      </w:tr>
      <w:tr w:rsidR="00B31EC1" w:rsidRPr="007159B9" w:rsidTr="00472F81">
        <w:tc>
          <w:tcPr>
            <w:tcW w:w="2268"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ТЕС/ТЕЦ</w:t>
            </w:r>
          </w:p>
        </w:tc>
        <w:tc>
          <w:tcPr>
            <w:tcW w:w="106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67,5</w:t>
            </w:r>
          </w:p>
        </w:tc>
        <w:tc>
          <w:tcPr>
            <w:tcW w:w="1134"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60</w:t>
            </w:r>
          </w:p>
        </w:tc>
        <w:tc>
          <w:tcPr>
            <w:tcW w:w="992"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64</w:t>
            </w:r>
          </w:p>
        </w:tc>
        <w:tc>
          <w:tcPr>
            <w:tcW w:w="993"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63</w:t>
            </w:r>
          </w:p>
        </w:tc>
        <w:tc>
          <w:tcPr>
            <w:tcW w:w="1271"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63</w:t>
            </w:r>
          </w:p>
        </w:tc>
        <w:tc>
          <w:tcPr>
            <w:tcW w:w="127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93,3</w:t>
            </w:r>
          </w:p>
        </w:tc>
      </w:tr>
      <w:tr w:rsidR="00B31EC1" w:rsidRPr="007159B9" w:rsidTr="00472F81">
        <w:tc>
          <w:tcPr>
            <w:tcW w:w="2268"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Гідро</w:t>
            </w:r>
          </w:p>
        </w:tc>
        <w:tc>
          <w:tcPr>
            <w:tcW w:w="106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7</w:t>
            </w:r>
          </w:p>
        </w:tc>
        <w:tc>
          <w:tcPr>
            <w:tcW w:w="1134"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10</w:t>
            </w:r>
          </w:p>
        </w:tc>
        <w:tc>
          <w:tcPr>
            <w:tcW w:w="992"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12</w:t>
            </w:r>
          </w:p>
        </w:tc>
        <w:tc>
          <w:tcPr>
            <w:tcW w:w="993"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13</w:t>
            </w:r>
          </w:p>
        </w:tc>
        <w:tc>
          <w:tcPr>
            <w:tcW w:w="1271"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13</w:t>
            </w:r>
          </w:p>
        </w:tc>
        <w:tc>
          <w:tcPr>
            <w:tcW w:w="127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185,7</w:t>
            </w:r>
          </w:p>
        </w:tc>
      </w:tr>
      <w:tr w:rsidR="00B31EC1" w:rsidRPr="007159B9" w:rsidTr="00472F81">
        <w:tc>
          <w:tcPr>
            <w:tcW w:w="2268"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ВДЕ (сонце, вітер)</w:t>
            </w:r>
          </w:p>
        </w:tc>
        <w:tc>
          <w:tcPr>
            <w:tcW w:w="106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1,6</w:t>
            </w:r>
          </w:p>
        </w:tc>
        <w:tc>
          <w:tcPr>
            <w:tcW w:w="1134"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8</w:t>
            </w:r>
          </w:p>
        </w:tc>
        <w:tc>
          <w:tcPr>
            <w:tcW w:w="992"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12</w:t>
            </w:r>
          </w:p>
        </w:tc>
        <w:tc>
          <w:tcPr>
            <w:tcW w:w="993"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18</w:t>
            </w:r>
          </w:p>
        </w:tc>
        <w:tc>
          <w:tcPr>
            <w:tcW w:w="1271"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25</w:t>
            </w:r>
          </w:p>
        </w:tc>
        <w:tc>
          <w:tcPr>
            <w:tcW w:w="127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15,6 рази</w:t>
            </w:r>
          </w:p>
        </w:tc>
      </w:tr>
      <w:tr w:rsidR="00B31EC1" w:rsidRPr="007159B9" w:rsidTr="00472F81">
        <w:tc>
          <w:tcPr>
            <w:tcW w:w="2268"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Всього</w:t>
            </w:r>
          </w:p>
        </w:tc>
        <w:tc>
          <w:tcPr>
            <w:tcW w:w="106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163,7</w:t>
            </w:r>
          </w:p>
        </w:tc>
        <w:tc>
          <w:tcPr>
            <w:tcW w:w="1134"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164</w:t>
            </w:r>
          </w:p>
        </w:tc>
        <w:tc>
          <w:tcPr>
            <w:tcW w:w="992"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178</w:t>
            </w:r>
          </w:p>
        </w:tc>
        <w:tc>
          <w:tcPr>
            <w:tcW w:w="993"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185</w:t>
            </w:r>
          </w:p>
        </w:tc>
        <w:tc>
          <w:tcPr>
            <w:tcW w:w="1271"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195</w:t>
            </w:r>
          </w:p>
        </w:tc>
        <w:tc>
          <w:tcPr>
            <w:tcW w:w="1279" w:type="dxa"/>
            <w:vAlign w:val="center"/>
          </w:tcPr>
          <w:p w:rsidR="00B31EC1" w:rsidRPr="007159B9" w:rsidRDefault="00B31EC1" w:rsidP="00CD57C5">
            <w:pPr>
              <w:jc w:val="center"/>
              <w:rPr>
                <w:rFonts w:ascii="Times New Roman" w:eastAsia="Times New Roman" w:hAnsi="Times New Roman" w:cs="Times New Roman"/>
                <w:sz w:val="24"/>
                <w:szCs w:val="24"/>
                <w:lang w:val="uk-UA" w:eastAsia="ru-RU"/>
              </w:rPr>
            </w:pPr>
            <w:r w:rsidRPr="007159B9">
              <w:rPr>
                <w:rFonts w:ascii="Times New Roman" w:eastAsia="Times New Roman" w:hAnsi="Times New Roman" w:cs="Times New Roman"/>
                <w:sz w:val="24"/>
                <w:szCs w:val="24"/>
                <w:lang w:val="uk-UA" w:eastAsia="ru-RU"/>
              </w:rPr>
              <w:t>119,1</w:t>
            </w:r>
          </w:p>
        </w:tc>
      </w:tr>
    </w:tbl>
    <w:p w:rsidR="009D3DC3" w:rsidRPr="007159B9" w:rsidRDefault="009D3DC3" w:rsidP="00CD57C5">
      <w:pPr>
        <w:spacing w:after="0" w:line="240" w:lineRule="auto"/>
        <w:ind w:firstLine="708"/>
        <w:contextualSpacing/>
        <w:jc w:val="both"/>
        <w:rPr>
          <w:rFonts w:ascii="Times New Roman" w:eastAsia="Times New Roman" w:hAnsi="Times New Roman" w:cs="Times New Roman"/>
          <w:sz w:val="28"/>
          <w:szCs w:val="28"/>
          <w:lang w:val="uk-UA" w:eastAsia="ru-RU"/>
        </w:rPr>
      </w:pP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Однією з вагомих загроз втрати безпеки обґрунтовано вважають демографічну небезпеку держави. «Методичні рекомендації щодо розрахунку рівня економічної безпеки України» визначають «демографічну безпеку» як «стан захищеності держави, суспільства, ринку праці від демографічних загроз, за якого забезпечується розвиток України з урахуванням сукупності збалансованих демографічних інтересів держави, суспільства й особистості відповідно до конституційних прав громадян України. </w:t>
      </w:r>
    </w:p>
    <w:p w:rsidR="00B31EC1" w:rsidRPr="007159B9" w:rsidRDefault="00B31EC1" w:rsidP="008C4E03">
      <w:pPr>
        <w:spacing w:after="0" w:line="360" w:lineRule="auto"/>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ab/>
        <w:t>Демографічна безпека має сприяти гарантованому захисту соціально-економічного розвитку держави і суспільства від демографічних загроз – демографічних явищ і тенденцій, які негативно впливають саме на соціально-економічний розвиток держави, суспільства. Стан демографічної безпеки характеризується відсутністю депопуляції, свідомим регулюванням народжуваності, зниженням смертності і підвищенням тривалості життя, оптимальними зовнішніми міграційними процесами, зміцненням сім’ї, як важливого соціального інституту суспільства.</w:t>
      </w:r>
    </w:p>
    <w:p w:rsidR="00AD0C59" w:rsidRPr="007159B9" w:rsidRDefault="00B31EC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Чисельність населення в Україні швидко зменшується не лише через депопуляцію, але й через багатомільйонну міграцію людей в останні роки. </w:t>
      </w:r>
    </w:p>
    <w:p w:rsidR="00B31EC1" w:rsidRPr="007159B9" w:rsidRDefault="00B31EC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Міграція українців в інші країни, за нашою оцінкою, завдає національній економіці багаторазово більших фінансових втрат у порівнянні </w:t>
      </w:r>
      <w:r w:rsidRPr="007159B9">
        <w:rPr>
          <w:rFonts w:ascii="Times New Roman" w:eastAsia="Times New Roman" w:hAnsi="Times New Roman" w:cs="Times New Roman"/>
          <w:sz w:val="28"/>
          <w:szCs w:val="28"/>
          <w:lang w:val="uk-UA" w:eastAsia="ru-RU"/>
        </w:rPr>
        <w:lastRenderedPageBreak/>
        <w:t xml:space="preserve">із сумами грошових переказів мігрантів своїм родинам в Україну. За нашими розрахунками, на підготовку інженера, вчителя, лікаря або іншого спеціаліста (виховання від народження до 6-ти років, навчання у школі та в університеті до одержання диплома магістра) держава й батьки витрачають упродовж 23-24 років понад 1,4 млн. грн., що за нинішнім офіційним курсом, встановленим Національним банком України, еквівалентно становить понад 50 тис. дол. США. </w:t>
      </w:r>
    </w:p>
    <w:p w:rsidR="00B31EC1" w:rsidRPr="007159B9" w:rsidRDefault="00B31EC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Зменшення чисельності населення в Україні, як наслідок, обумовлює багатомільйонне зменшення кількості зайнятих трудовою діяльністю, а отже – зменшення виробництва.</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На нашу думку, структурними складовими Національної програми демографічної безпеки повинні бути:</w:t>
      </w:r>
    </w:p>
    <w:p w:rsidR="00B31EC1" w:rsidRPr="007159B9" w:rsidRDefault="00B31EC1" w:rsidP="008C4E03">
      <w:pPr>
        <w:numPr>
          <w:ilvl w:val="0"/>
          <w:numId w:val="2"/>
        </w:numPr>
        <w:spacing w:after="0" w:line="360" w:lineRule="auto"/>
        <w:contextualSpacing/>
        <w:jc w:val="both"/>
        <w:rPr>
          <w:rFonts w:ascii="Times New Roman" w:eastAsia="Calibri" w:hAnsi="Times New Roman" w:cs="Times New Roman"/>
          <w:sz w:val="28"/>
          <w:szCs w:val="28"/>
          <w:lang w:val="uk-UA"/>
        </w:rPr>
      </w:pPr>
      <w:r w:rsidRPr="007159B9">
        <w:rPr>
          <w:rFonts w:ascii="Times New Roman" w:eastAsia="Calibri" w:hAnsi="Times New Roman" w:cs="Times New Roman"/>
          <w:sz w:val="28"/>
          <w:szCs w:val="28"/>
          <w:lang w:val="uk-UA"/>
        </w:rPr>
        <w:t>об’єктивна оцінка демографічної політики;</w:t>
      </w:r>
    </w:p>
    <w:p w:rsidR="00B31EC1" w:rsidRPr="007159B9" w:rsidRDefault="00B31EC1" w:rsidP="008C4E03">
      <w:pPr>
        <w:numPr>
          <w:ilvl w:val="0"/>
          <w:numId w:val="2"/>
        </w:numPr>
        <w:spacing w:after="0" w:line="360" w:lineRule="auto"/>
        <w:contextualSpacing/>
        <w:jc w:val="both"/>
        <w:rPr>
          <w:rFonts w:ascii="Times New Roman" w:eastAsia="Calibri" w:hAnsi="Times New Roman" w:cs="Times New Roman"/>
          <w:sz w:val="28"/>
          <w:szCs w:val="28"/>
          <w:lang w:val="uk-UA"/>
        </w:rPr>
      </w:pPr>
      <w:r w:rsidRPr="007159B9">
        <w:rPr>
          <w:rFonts w:ascii="Times New Roman" w:eastAsia="Calibri" w:hAnsi="Times New Roman" w:cs="Times New Roman"/>
          <w:sz w:val="28"/>
          <w:szCs w:val="28"/>
          <w:lang w:val="uk-UA"/>
        </w:rPr>
        <w:t>система заходів з нейтралізації ознак демографічної безпеки (стрімка депопуляція, вимирання, деградація інституту сім’ї);</w:t>
      </w:r>
    </w:p>
    <w:p w:rsidR="00B31EC1" w:rsidRPr="007159B9" w:rsidRDefault="00B31EC1" w:rsidP="008C4E03">
      <w:pPr>
        <w:numPr>
          <w:ilvl w:val="0"/>
          <w:numId w:val="2"/>
        </w:numPr>
        <w:spacing w:after="0" w:line="360" w:lineRule="auto"/>
        <w:contextualSpacing/>
        <w:jc w:val="both"/>
        <w:rPr>
          <w:rFonts w:ascii="Times New Roman" w:eastAsia="Calibri" w:hAnsi="Times New Roman" w:cs="Times New Roman"/>
          <w:sz w:val="28"/>
          <w:szCs w:val="28"/>
          <w:lang w:val="uk-UA"/>
        </w:rPr>
      </w:pPr>
      <w:r w:rsidRPr="007159B9">
        <w:rPr>
          <w:rFonts w:ascii="Times New Roman" w:eastAsia="Calibri" w:hAnsi="Times New Roman" w:cs="Times New Roman"/>
          <w:sz w:val="28"/>
          <w:szCs w:val="28"/>
          <w:lang w:val="uk-UA"/>
        </w:rPr>
        <w:t>система Законів та організаційних заходів свідомого регулювання (оптимізації) зовнішніх міграційних процесів з врахуванням національних демографічних інтересів населення України.</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Згідно із Конституцією України наша країна є демократичною, правовою, соціальною державою. Це положення Конституції може бути дотримано лише за умови забезпечення соціальної безпеки у країні.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«Соціальна безпека – це стан розвитку держави, за якого держава здатна забезпечити гідний і якісний рівень життя населення незалежно від віку, статі, рівня доходів, сприяти розвитку людського капіталу як найважливішої складової економічного потенціалу країни.  </w:t>
      </w:r>
    </w:p>
    <w:p w:rsidR="00AD0C59"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Індикаторами стану соціальної безпеки, які показують її рівень, є відношення ВВП на одну особу в Україні до значення в країнах з високорозвиненою економікою, відношення середньомісячної заробітної плати до прожиткового мінімуму на одну працездатну особу, відношення середнього номінального розміру пенсії і допомоги особам, які втратили </w:t>
      </w:r>
      <w:r w:rsidRPr="007159B9">
        <w:rPr>
          <w:rFonts w:ascii="Times New Roman" w:eastAsia="Times New Roman" w:hAnsi="Times New Roman" w:cs="Times New Roman"/>
          <w:sz w:val="28"/>
          <w:szCs w:val="28"/>
          <w:lang w:val="uk-UA" w:eastAsia="ru-RU"/>
        </w:rPr>
        <w:lastRenderedPageBreak/>
        <w:t xml:space="preserve">працездатність, до прожиткового мінімуму, частка витрат на продовольчі товари у споживчих грошових витратах домогосподарств.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Закон України «Про прожитковий мінімум» визначає поняття «прожитковий мінімум» як «вартісну величину, достатню для забезпечення нормального функціонування організму людини, збереження його здоров’я, набору продуктів харчування, а також мінімального набору непродовольчих товарів та мінімального набору послуг, необхідних для задоволення основних соціальних і культурних потреб особистості».</w:t>
      </w:r>
    </w:p>
    <w:p w:rsidR="00AD0C59"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Законодавчо встановлений загальний показник прожиткового мінімуму у 2014 р. і 2015 р. залишався однаковим і становив 1286 грн. У наступні роки його підвищували на 10 – 14 % і на початок 2018 р. він становив 1700 грн., а на початок 2019 р. – 1853 грн. </w:t>
      </w:r>
    </w:p>
    <w:p w:rsidR="00AD0C59"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Прожитковий мінімум в Україні встановлюється на рівні суттєво нижчому від порогу бідності, затвердженого стандартами ООН. Межею бідності, відповідно до стандартів ООН, є рівень 5 доларів на день. Якщо людина витрачає менше 5 доларів на день, а на місяць менше 150 доларів, то вважається, що вона знаходиться за межею бідності.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Обсяг витрат населення пропорційно залежить від  розміру його доходів. Середньомісячна номінальна заробітна плата в Україні з 3265 грн. у 2013 р. зросла до 3408 грн., або на 6,6% у 2014 р., відповідно – до 4195 грн., або на 20,5% – у 2015 р. порівняно з попереднім роком. Реальна ж заробітна плата у відношенні до рівня попереднього року у зв’язку із значним обезціненням гривні у 2014 р. знизилася на 6,5%, а у 2015 р. – відповідно на 20,2%. Підвищення номінальної заробітної плати відбулося і в наступні роки. У 2017 р. вона становила 7104 грн. і була в 2,2 рази вищою у порівнянні з показником у 2013 р., а у 2018 р. – відповідно 8865 грн., що в 2,7 рази більше від середньомісячної заробітної плати у 2013 р. Зазначимо, що за вказаний період середній офіційний курс гривні до 1 долара США у 2013 р., встановлений Національним банком України, зріс з 8,1 грн. до 28,0 грн. у </w:t>
      </w:r>
      <w:r w:rsidRPr="007159B9">
        <w:rPr>
          <w:rFonts w:ascii="Times New Roman" w:eastAsia="Times New Roman" w:hAnsi="Times New Roman" w:cs="Times New Roman"/>
          <w:sz w:val="28"/>
          <w:szCs w:val="28"/>
          <w:lang w:val="uk-UA" w:eastAsia="ru-RU"/>
        </w:rPr>
        <w:lastRenderedPageBreak/>
        <w:t xml:space="preserve">2018 р., або майже у 3,5 рази. Реальна ж заробітна плата у 2018 р. не досягла того рівня, який був у 2013 р. </w:t>
      </w:r>
    </w:p>
    <w:p w:rsidR="00B31EC1" w:rsidRPr="007159B9" w:rsidRDefault="00B31EC1" w:rsidP="008C4E03">
      <w:pPr>
        <w:spacing w:after="0" w:line="360" w:lineRule="auto"/>
        <w:ind w:firstLine="708"/>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 xml:space="preserve">  Низький рівень життя свідчить про процеси загального зубожіння населення країни, тобто має місце соціальна катастрофа в контексті безпеки. Занижений прожитковий мінімум не тільки «міцно консервує», а й поглиблює бідність громадян України, знижує купівельну спроможність населення, обсяг внутрішнього споживання, що негативно впливає на розвиток економіки. Упродовж останніх п’яти років рівень життя населення України значно знизився. «Тільки за 2015 р. рівень бідності в Україні за критерієм порівняння з прожитковим мінімумом зріс у двічі і перевищив 59%». </w:t>
      </w:r>
    </w:p>
    <w:p w:rsidR="00B31EC1" w:rsidRPr="007159B9" w:rsidRDefault="00B31EC1" w:rsidP="008C4E03">
      <w:pPr>
        <w:spacing w:after="0" w:line="360" w:lineRule="auto"/>
        <w:ind w:firstLine="709"/>
        <w:contextualSpacing/>
        <w:jc w:val="both"/>
        <w:rPr>
          <w:rFonts w:ascii="Times New Roman" w:eastAsia="Times New Roman" w:hAnsi="Times New Roman" w:cs="Times New Roman"/>
          <w:sz w:val="28"/>
          <w:szCs w:val="28"/>
          <w:lang w:val="uk-UA" w:eastAsia="ru-RU"/>
        </w:rPr>
      </w:pPr>
      <w:r w:rsidRPr="007159B9">
        <w:rPr>
          <w:rFonts w:ascii="Times New Roman" w:eastAsia="Times New Roman" w:hAnsi="Times New Roman" w:cs="Times New Roman"/>
          <w:sz w:val="28"/>
          <w:szCs w:val="28"/>
          <w:lang w:val="uk-UA" w:eastAsia="ru-RU"/>
        </w:rPr>
        <w:t>Таким чином, соціальна складова фінансово-економічної безпеки віддзеркалює деградаційні процеси у виробничій, фінансовій та демографічній складових та спрямовані на обмеження або навіть позбавлення прав громадян України; дефіцит фінансування та низька вартість робочої сили є передумовами зниження соціальних показників та погіршення демографічної ситуації.</w:t>
      </w:r>
    </w:p>
    <w:p w:rsidR="00856B7E" w:rsidRPr="007159B9" w:rsidRDefault="00856B7E" w:rsidP="008C4E03">
      <w:pPr>
        <w:shd w:val="clear" w:color="auto" w:fill="FFFFFF"/>
        <w:spacing w:after="0" w:line="360" w:lineRule="auto"/>
        <w:ind w:firstLine="709"/>
        <w:rPr>
          <w:rFonts w:ascii="Times New Roman" w:eastAsia="Times New Roman" w:hAnsi="Times New Roman" w:cs="Times New Roman"/>
          <w:b/>
          <w:bCs/>
          <w:color w:val="2D2D2D"/>
          <w:sz w:val="28"/>
          <w:szCs w:val="28"/>
          <w:lang w:val="uk-UA"/>
        </w:rPr>
      </w:pPr>
      <w:r w:rsidRPr="007159B9">
        <w:rPr>
          <w:rFonts w:ascii="Times New Roman" w:eastAsia="Times New Roman" w:hAnsi="Times New Roman" w:cs="Times New Roman"/>
          <w:b/>
          <w:bCs/>
          <w:color w:val="2D2D2D"/>
          <w:sz w:val="28"/>
          <w:szCs w:val="28"/>
          <w:lang w:val="uk-UA"/>
        </w:rPr>
        <w:t xml:space="preserve">На сьогоднішній день загрозами </w:t>
      </w:r>
      <w:r w:rsidR="00AD0C59" w:rsidRPr="007159B9">
        <w:rPr>
          <w:rFonts w:ascii="Times New Roman" w:eastAsia="Times New Roman" w:hAnsi="Times New Roman" w:cs="Times New Roman"/>
          <w:b/>
          <w:bCs/>
          <w:color w:val="2D2D2D"/>
          <w:sz w:val="28"/>
          <w:szCs w:val="28"/>
          <w:lang w:val="uk-UA"/>
        </w:rPr>
        <w:t xml:space="preserve">безпеці </w:t>
      </w:r>
      <w:r w:rsidRPr="007159B9">
        <w:rPr>
          <w:rFonts w:ascii="Times New Roman" w:eastAsia="Times New Roman" w:hAnsi="Times New Roman" w:cs="Times New Roman"/>
          <w:b/>
          <w:bCs/>
          <w:color w:val="2D2D2D"/>
          <w:sz w:val="28"/>
          <w:szCs w:val="28"/>
          <w:lang w:val="uk-UA"/>
        </w:rPr>
        <w:t>є:</w:t>
      </w:r>
    </w:p>
    <w:p w:rsidR="00856B7E" w:rsidRPr="007159B9" w:rsidRDefault="00856B7E" w:rsidP="008C4E03">
      <w:pPr>
        <w:numPr>
          <w:ilvl w:val="0"/>
          <w:numId w:val="5"/>
        </w:numPr>
        <w:shd w:val="clear" w:color="auto" w:fill="FFFFFF"/>
        <w:tabs>
          <w:tab w:val="clear" w:pos="720"/>
          <w:tab w:val="num" w:pos="360"/>
        </w:tabs>
        <w:spacing w:after="0" w:line="360" w:lineRule="auto"/>
        <w:ind w:left="0" w:firstLine="360"/>
        <w:jc w:val="both"/>
        <w:rPr>
          <w:rFonts w:ascii="Times New Roman" w:eastAsia="Times New Roman" w:hAnsi="Times New Roman" w:cs="Times New Roman"/>
          <w:color w:val="2D2D2D"/>
          <w:sz w:val="28"/>
          <w:szCs w:val="28"/>
          <w:lang w:val="uk-UA"/>
        </w:rPr>
      </w:pPr>
      <w:r w:rsidRPr="007159B9">
        <w:rPr>
          <w:rFonts w:ascii="Times New Roman" w:eastAsia="Times New Roman" w:hAnsi="Times New Roman" w:cs="Times New Roman"/>
          <w:color w:val="2D2D2D"/>
          <w:sz w:val="28"/>
          <w:szCs w:val="28"/>
          <w:lang w:val="uk-UA"/>
        </w:rPr>
        <w:t>посягання на державний суверенітет та територіальну цілісність (зокрема, конфлікт на сході та анексія Криму);</w:t>
      </w:r>
    </w:p>
    <w:p w:rsidR="00856B7E" w:rsidRPr="007159B9" w:rsidRDefault="00856B7E" w:rsidP="008C4E03">
      <w:pPr>
        <w:numPr>
          <w:ilvl w:val="0"/>
          <w:numId w:val="5"/>
        </w:numPr>
        <w:shd w:val="clear" w:color="auto" w:fill="FFFFFF"/>
        <w:spacing w:after="0" w:line="360" w:lineRule="auto"/>
        <w:jc w:val="both"/>
        <w:rPr>
          <w:rFonts w:ascii="Times New Roman" w:eastAsia="Times New Roman" w:hAnsi="Times New Roman" w:cs="Times New Roman"/>
          <w:color w:val="2D2D2D"/>
          <w:sz w:val="28"/>
          <w:szCs w:val="28"/>
          <w:lang w:val="uk-UA"/>
        </w:rPr>
      </w:pPr>
      <w:r w:rsidRPr="007159B9">
        <w:rPr>
          <w:rFonts w:ascii="Times New Roman" w:eastAsia="Times New Roman" w:hAnsi="Times New Roman" w:cs="Times New Roman"/>
          <w:color w:val="2D2D2D"/>
          <w:sz w:val="28"/>
          <w:szCs w:val="28"/>
          <w:lang w:val="uk-UA"/>
        </w:rPr>
        <w:t>посягання на безпеку державних інформаційних ресурсів;</w:t>
      </w:r>
    </w:p>
    <w:p w:rsidR="00856B7E" w:rsidRPr="007159B9" w:rsidRDefault="00856B7E" w:rsidP="008C4E03">
      <w:pPr>
        <w:numPr>
          <w:ilvl w:val="0"/>
          <w:numId w:val="5"/>
        </w:numPr>
        <w:shd w:val="clear" w:color="auto" w:fill="FFFFFF"/>
        <w:tabs>
          <w:tab w:val="clear" w:pos="720"/>
        </w:tabs>
        <w:spacing w:after="0" w:line="360" w:lineRule="auto"/>
        <w:ind w:left="0" w:firstLine="360"/>
        <w:jc w:val="both"/>
        <w:rPr>
          <w:rFonts w:ascii="Times New Roman" w:eastAsia="Times New Roman" w:hAnsi="Times New Roman" w:cs="Times New Roman"/>
          <w:color w:val="2D2D2D"/>
          <w:sz w:val="28"/>
          <w:szCs w:val="28"/>
          <w:lang w:val="uk-UA"/>
        </w:rPr>
      </w:pPr>
      <w:r w:rsidRPr="007159B9">
        <w:rPr>
          <w:rFonts w:ascii="Times New Roman" w:eastAsia="Times New Roman" w:hAnsi="Times New Roman" w:cs="Times New Roman"/>
          <w:color w:val="2D2D2D"/>
          <w:sz w:val="28"/>
          <w:szCs w:val="28"/>
          <w:lang w:val="uk-UA"/>
        </w:rPr>
        <w:t>негативний вплив іноземних неурядових структур на органи державної влади та місцевого самоврядування;</w:t>
      </w:r>
    </w:p>
    <w:p w:rsidR="00856B7E" w:rsidRPr="007159B9" w:rsidRDefault="00856B7E" w:rsidP="008C4E03">
      <w:pPr>
        <w:numPr>
          <w:ilvl w:val="0"/>
          <w:numId w:val="5"/>
        </w:numPr>
        <w:shd w:val="clear" w:color="auto" w:fill="FFFFFF"/>
        <w:tabs>
          <w:tab w:val="clear" w:pos="720"/>
          <w:tab w:val="num" w:pos="360"/>
        </w:tabs>
        <w:spacing w:after="0" w:line="360" w:lineRule="auto"/>
        <w:ind w:left="0" w:firstLine="360"/>
        <w:jc w:val="both"/>
        <w:rPr>
          <w:rFonts w:ascii="Times New Roman" w:eastAsia="Times New Roman" w:hAnsi="Times New Roman" w:cs="Times New Roman"/>
          <w:color w:val="2D2D2D"/>
          <w:sz w:val="28"/>
          <w:szCs w:val="28"/>
          <w:lang w:val="uk-UA"/>
        </w:rPr>
      </w:pPr>
      <w:r w:rsidRPr="007159B9">
        <w:rPr>
          <w:rFonts w:ascii="Times New Roman" w:eastAsia="Times New Roman" w:hAnsi="Times New Roman" w:cs="Times New Roman"/>
          <w:color w:val="2D2D2D"/>
          <w:sz w:val="28"/>
          <w:szCs w:val="28"/>
          <w:lang w:val="uk-UA"/>
        </w:rPr>
        <w:t>зростання рівня недовіри населення до органів державної та місцевої влади;</w:t>
      </w:r>
    </w:p>
    <w:p w:rsidR="00856B7E" w:rsidRPr="007159B9" w:rsidRDefault="00856B7E" w:rsidP="008C4E03">
      <w:pPr>
        <w:numPr>
          <w:ilvl w:val="0"/>
          <w:numId w:val="5"/>
        </w:numPr>
        <w:shd w:val="clear" w:color="auto" w:fill="FFFFFF"/>
        <w:spacing w:after="0" w:line="360" w:lineRule="auto"/>
        <w:jc w:val="both"/>
        <w:rPr>
          <w:rFonts w:ascii="Times New Roman" w:eastAsia="Times New Roman" w:hAnsi="Times New Roman" w:cs="Times New Roman"/>
          <w:color w:val="2D2D2D"/>
          <w:sz w:val="28"/>
          <w:szCs w:val="28"/>
          <w:lang w:val="uk-UA"/>
        </w:rPr>
      </w:pPr>
      <w:r w:rsidRPr="007159B9">
        <w:rPr>
          <w:rFonts w:ascii="Times New Roman" w:eastAsia="Times New Roman" w:hAnsi="Times New Roman" w:cs="Times New Roman"/>
          <w:color w:val="2D2D2D"/>
          <w:sz w:val="28"/>
          <w:szCs w:val="28"/>
          <w:lang w:val="uk-UA"/>
        </w:rPr>
        <w:t>наслідки світової фінансово-економічної кризи;</w:t>
      </w:r>
    </w:p>
    <w:p w:rsidR="00856B7E" w:rsidRPr="007159B9" w:rsidRDefault="00856B7E" w:rsidP="008C4E03">
      <w:pPr>
        <w:numPr>
          <w:ilvl w:val="0"/>
          <w:numId w:val="5"/>
        </w:numPr>
        <w:shd w:val="clear" w:color="auto" w:fill="FFFFFF"/>
        <w:spacing w:after="0" w:line="360" w:lineRule="auto"/>
        <w:jc w:val="both"/>
        <w:rPr>
          <w:rFonts w:ascii="Times New Roman" w:eastAsia="Times New Roman" w:hAnsi="Times New Roman" w:cs="Times New Roman"/>
          <w:color w:val="2D2D2D"/>
          <w:sz w:val="28"/>
          <w:szCs w:val="28"/>
          <w:lang w:val="uk-UA"/>
        </w:rPr>
      </w:pPr>
      <w:r w:rsidRPr="007159B9">
        <w:rPr>
          <w:rFonts w:ascii="Times New Roman" w:eastAsia="Times New Roman" w:hAnsi="Times New Roman" w:cs="Times New Roman"/>
          <w:color w:val="2D2D2D"/>
          <w:sz w:val="28"/>
          <w:szCs w:val="28"/>
          <w:lang w:val="uk-UA"/>
        </w:rPr>
        <w:t>«тінізація» національної економіки;</w:t>
      </w:r>
    </w:p>
    <w:p w:rsidR="00856B7E" w:rsidRPr="007159B9" w:rsidRDefault="00856B7E" w:rsidP="008C4E03">
      <w:pPr>
        <w:numPr>
          <w:ilvl w:val="0"/>
          <w:numId w:val="5"/>
        </w:numPr>
        <w:shd w:val="clear" w:color="auto" w:fill="FFFFFF"/>
        <w:spacing w:after="0" w:line="360" w:lineRule="auto"/>
        <w:jc w:val="both"/>
        <w:rPr>
          <w:rFonts w:ascii="Times New Roman" w:eastAsia="Times New Roman" w:hAnsi="Times New Roman" w:cs="Times New Roman"/>
          <w:color w:val="2D2D2D"/>
          <w:sz w:val="28"/>
          <w:szCs w:val="28"/>
          <w:lang w:val="uk-UA"/>
        </w:rPr>
      </w:pPr>
      <w:r w:rsidRPr="007159B9">
        <w:rPr>
          <w:rFonts w:ascii="Times New Roman" w:eastAsia="Times New Roman" w:hAnsi="Times New Roman" w:cs="Times New Roman"/>
          <w:color w:val="2D2D2D"/>
          <w:sz w:val="28"/>
          <w:szCs w:val="28"/>
          <w:lang w:val="uk-UA"/>
        </w:rPr>
        <w:t>розвідувально-підривна діяльність іноземних спеціальних служб.</w:t>
      </w:r>
    </w:p>
    <w:p w:rsidR="00073BFD" w:rsidRPr="007159B9" w:rsidRDefault="00073BFD" w:rsidP="008C4E03">
      <w:pPr>
        <w:spacing w:after="0" w:line="360" w:lineRule="auto"/>
        <w:jc w:val="both"/>
        <w:rPr>
          <w:rFonts w:ascii="Times New Roman" w:hAnsi="Times New Roman" w:cs="Times New Roman"/>
          <w:sz w:val="28"/>
          <w:szCs w:val="28"/>
          <w:lang w:val="uk-UA"/>
        </w:rPr>
      </w:pPr>
    </w:p>
    <w:sectPr w:rsidR="00073BFD" w:rsidRPr="007159B9" w:rsidSect="00F06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682B"/>
    <w:multiLevelType w:val="hybridMultilevel"/>
    <w:tmpl w:val="192E7ADA"/>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A877B4B"/>
    <w:multiLevelType w:val="hybridMultilevel"/>
    <w:tmpl w:val="5A782248"/>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126553C9"/>
    <w:multiLevelType w:val="hybridMultilevel"/>
    <w:tmpl w:val="1A4ACE3C"/>
    <w:lvl w:ilvl="0" w:tplc="03923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C16D5E"/>
    <w:multiLevelType w:val="hybridMultilevel"/>
    <w:tmpl w:val="DA4C0FA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27D001DA"/>
    <w:multiLevelType w:val="multilevel"/>
    <w:tmpl w:val="53DEF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24485"/>
    <w:multiLevelType w:val="hybridMultilevel"/>
    <w:tmpl w:val="DBEA2DD8"/>
    <w:lvl w:ilvl="0" w:tplc="03923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7D1E96"/>
    <w:multiLevelType w:val="hybridMultilevel"/>
    <w:tmpl w:val="2496E6F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4EEE3A32"/>
    <w:multiLevelType w:val="hybridMultilevel"/>
    <w:tmpl w:val="ADB69E9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636B5ABC"/>
    <w:multiLevelType w:val="multilevel"/>
    <w:tmpl w:val="66AA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1102C9"/>
    <w:multiLevelType w:val="hybridMultilevel"/>
    <w:tmpl w:val="DE7E0A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790D2D51"/>
    <w:multiLevelType w:val="hybridMultilevel"/>
    <w:tmpl w:val="5A04B28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7ED0495C"/>
    <w:multiLevelType w:val="hybridMultilevel"/>
    <w:tmpl w:val="6964C32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8"/>
  </w:num>
  <w:num w:numId="5">
    <w:abstractNumId w:val="4"/>
  </w:num>
  <w:num w:numId="6">
    <w:abstractNumId w:val="6"/>
  </w:num>
  <w:num w:numId="7">
    <w:abstractNumId w:val="0"/>
  </w:num>
  <w:num w:numId="8">
    <w:abstractNumId w:val="3"/>
  </w:num>
  <w:num w:numId="9">
    <w:abstractNumId w:val="11"/>
  </w:num>
  <w:num w:numId="10">
    <w:abstractNumId w:val="10"/>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467250"/>
    <w:rsid w:val="00055503"/>
    <w:rsid w:val="00066EDA"/>
    <w:rsid w:val="00073BFD"/>
    <w:rsid w:val="000831FA"/>
    <w:rsid w:val="000847D1"/>
    <w:rsid w:val="001071CF"/>
    <w:rsid w:val="001167CE"/>
    <w:rsid w:val="001500EC"/>
    <w:rsid w:val="001D6403"/>
    <w:rsid w:val="00226DE1"/>
    <w:rsid w:val="0022763F"/>
    <w:rsid w:val="00244D26"/>
    <w:rsid w:val="002D1427"/>
    <w:rsid w:val="003651BE"/>
    <w:rsid w:val="00370736"/>
    <w:rsid w:val="003969EB"/>
    <w:rsid w:val="003B2310"/>
    <w:rsid w:val="003D1EC2"/>
    <w:rsid w:val="004045CE"/>
    <w:rsid w:val="00467250"/>
    <w:rsid w:val="00472F81"/>
    <w:rsid w:val="004C5CC1"/>
    <w:rsid w:val="004E559C"/>
    <w:rsid w:val="00502C42"/>
    <w:rsid w:val="00524258"/>
    <w:rsid w:val="005B2CEB"/>
    <w:rsid w:val="005E318E"/>
    <w:rsid w:val="00627AFB"/>
    <w:rsid w:val="00630337"/>
    <w:rsid w:val="00641455"/>
    <w:rsid w:val="006A6EDB"/>
    <w:rsid w:val="006B7932"/>
    <w:rsid w:val="006D1EC9"/>
    <w:rsid w:val="006F0C7D"/>
    <w:rsid w:val="007159B9"/>
    <w:rsid w:val="007244D4"/>
    <w:rsid w:val="007430F8"/>
    <w:rsid w:val="007432DF"/>
    <w:rsid w:val="0076533E"/>
    <w:rsid w:val="007946B1"/>
    <w:rsid w:val="00815093"/>
    <w:rsid w:val="008554E9"/>
    <w:rsid w:val="00856B7E"/>
    <w:rsid w:val="00882103"/>
    <w:rsid w:val="008C4E03"/>
    <w:rsid w:val="00907858"/>
    <w:rsid w:val="00974EA5"/>
    <w:rsid w:val="00991E5F"/>
    <w:rsid w:val="009D3DC3"/>
    <w:rsid w:val="00A73D27"/>
    <w:rsid w:val="00AA04F4"/>
    <w:rsid w:val="00AD0C59"/>
    <w:rsid w:val="00B113E2"/>
    <w:rsid w:val="00B31EC1"/>
    <w:rsid w:val="00B42B54"/>
    <w:rsid w:val="00B45347"/>
    <w:rsid w:val="00BE3D7C"/>
    <w:rsid w:val="00C94157"/>
    <w:rsid w:val="00CD57C5"/>
    <w:rsid w:val="00D40858"/>
    <w:rsid w:val="00D76211"/>
    <w:rsid w:val="00DA71CA"/>
    <w:rsid w:val="00E05A18"/>
    <w:rsid w:val="00F06FC3"/>
    <w:rsid w:val="00F359E0"/>
    <w:rsid w:val="00F45963"/>
    <w:rsid w:val="00FE5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3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3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57C5"/>
    <w:pPr>
      <w:ind w:left="720"/>
      <w:contextualSpacing/>
    </w:pPr>
  </w:style>
  <w:style w:type="paragraph" w:styleId="a5">
    <w:name w:val="Normal (Web)"/>
    <w:basedOn w:val="a"/>
    <w:uiPriority w:val="99"/>
    <w:semiHidden/>
    <w:unhideWhenUsed/>
    <w:rsid w:val="0090785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Placeholder Text"/>
    <w:basedOn w:val="a0"/>
    <w:uiPriority w:val="99"/>
    <w:semiHidden/>
    <w:rsid w:val="00E05A18"/>
    <w:rPr>
      <w:color w:val="808080"/>
    </w:rPr>
  </w:style>
  <w:style w:type="paragraph" w:styleId="a7">
    <w:name w:val="Balloon Text"/>
    <w:basedOn w:val="a"/>
    <w:link w:val="a8"/>
    <w:uiPriority w:val="99"/>
    <w:semiHidden/>
    <w:unhideWhenUsed/>
    <w:rsid w:val="007159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59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987889">
      <w:bodyDiv w:val="1"/>
      <w:marLeft w:val="0"/>
      <w:marRight w:val="0"/>
      <w:marTop w:val="0"/>
      <w:marBottom w:val="0"/>
      <w:divBdr>
        <w:top w:val="none" w:sz="0" w:space="0" w:color="auto"/>
        <w:left w:val="none" w:sz="0" w:space="0" w:color="auto"/>
        <w:bottom w:val="none" w:sz="0" w:space="0" w:color="auto"/>
        <w:right w:val="none" w:sz="0" w:space="0" w:color="auto"/>
      </w:divBdr>
    </w:div>
    <w:div w:id="688214344">
      <w:bodyDiv w:val="1"/>
      <w:marLeft w:val="0"/>
      <w:marRight w:val="0"/>
      <w:marTop w:val="0"/>
      <w:marBottom w:val="0"/>
      <w:divBdr>
        <w:top w:val="none" w:sz="0" w:space="0" w:color="auto"/>
        <w:left w:val="none" w:sz="0" w:space="0" w:color="auto"/>
        <w:bottom w:val="none" w:sz="0" w:space="0" w:color="auto"/>
        <w:right w:val="none" w:sz="0" w:space="0" w:color="auto"/>
      </w:divBdr>
    </w:div>
    <w:div w:id="1052727230">
      <w:bodyDiv w:val="1"/>
      <w:marLeft w:val="0"/>
      <w:marRight w:val="0"/>
      <w:marTop w:val="0"/>
      <w:marBottom w:val="0"/>
      <w:divBdr>
        <w:top w:val="none" w:sz="0" w:space="0" w:color="auto"/>
        <w:left w:val="none" w:sz="0" w:space="0" w:color="auto"/>
        <w:bottom w:val="none" w:sz="0" w:space="0" w:color="auto"/>
        <w:right w:val="none" w:sz="0" w:space="0" w:color="auto"/>
      </w:divBdr>
    </w:div>
    <w:div w:id="1334455470">
      <w:bodyDiv w:val="1"/>
      <w:marLeft w:val="0"/>
      <w:marRight w:val="0"/>
      <w:marTop w:val="0"/>
      <w:marBottom w:val="0"/>
      <w:divBdr>
        <w:top w:val="none" w:sz="0" w:space="0" w:color="auto"/>
        <w:left w:val="none" w:sz="0" w:space="0" w:color="auto"/>
        <w:bottom w:val="none" w:sz="0" w:space="0" w:color="auto"/>
        <w:right w:val="none" w:sz="0" w:space="0" w:color="auto"/>
      </w:divBdr>
    </w:div>
    <w:div w:id="1693799323">
      <w:bodyDiv w:val="1"/>
      <w:marLeft w:val="0"/>
      <w:marRight w:val="0"/>
      <w:marTop w:val="0"/>
      <w:marBottom w:val="0"/>
      <w:divBdr>
        <w:top w:val="none" w:sz="0" w:space="0" w:color="auto"/>
        <w:left w:val="none" w:sz="0" w:space="0" w:color="auto"/>
        <w:bottom w:val="none" w:sz="0" w:space="0" w:color="auto"/>
        <w:right w:val="none" w:sz="0" w:space="0" w:color="auto"/>
      </w:divBdr>
      <w:divsChild>
        <w:div w:id="544411712">
          <w:marLeft w:val="0"/>
          <w:marRight w:val="0"/>
          <w:marTop w:val="0"/>
          <w:marBottom w:val="0"/>
          <w:divBdr>
            <w:top w:val="none" w:sz="0" w:space="0" w:color="auto"/>
            <w:left w:val="none" w:sz="0" w:space="0" w:color="auto"/>
            <w:bottom w:val="none" w:sz="0" w:space="0" w:color="auto"/>
            <w:right w:val="none" w:sz="0" w:space="0" w:color="auto"/>
          </w:divBdr>
        </w:div>
        <w:div w:id="1829707834">
          <w:marLeft w:val="0"/>
          <w:marRight w:val="0"/>
          <w:marTop w:val="0"/>
          <w:marBottom w:val="0"/>
          <w:divBdr>
            <w:top w:val="none" w:sz="0" w:space="0" w:color="auto"/>
            <w:left w:val="none" w:sz="0" w:space="0" w:color="auto"/>
            <w:bottom w:val="none" w:sz="0" w:space="0" w:color="auto"/>
            <w:right w:val="none" w:sz="0" w:space="0" w:color="auto"/>
          </w:divBdr>
        </w:div>
        <w:div w:id="1854563558">
          <w:marLeft w:val="0"/>
          <w:marRight w:val="0"/>
          <w:marTop w:val="0"/>
          <w:marBottom w:val="0"/>
          <w:divBdr>
            <w:top w:val="none" w:sz="0" w:space="0" w:color="auto"/>
            <w:left w:val="none" w:sz="0" w:space="0" w:color="auto"/>
            <w:bottom w:val="none" w:sz="0" w:space="0" w:color="auto"/>
            <w:right w:val="none" w:sz="0" w:space="0" w:color="auto"/>
          </w:divBdr>
        </w:div>
        <w:div w:id="2059165756">
          <w:marLeft w:val="0"/>
          <w:marRight w:val="0"/>
          <w:marTop w:val="0"/>
          <w:marBottom w:val="0"/>
          <w:divBdr>
            <w:top w:val="none" w:sz="0" w:space="0" w:color="auto"/>
            <w:left w:val="none" w:sz="0" w:space="0" w:color="auto"/>
            <w:bottom w:val="none" w:sz="0" w:space="0" w:color="auto"/>
            <w:right w:val="none" w:sz="0" w:space="0" w:color="auto"/>
          </w:divBdr>
        </w:div>
        <w:div w:id="1943607747">
          <w:marLeft w:val="0"/>
          <w:marRight w:val="0"/>
          <w:marTop w:val="0"/>
          <w:marBottom w:val="0"/>
          <w:divBdr>
            <w:top w:val="none" w:sz="0" w:space="0" w:color="auto"/>
            <w:left w:val="none" w:sz="0" w:space="0" w:color="auto"/>
            <w:bottom w:val="none" w:sz="0" w:space="0" w:color="auto"/>
            <w:right w:val="none" w:sz="0" w:space="0" w:color="auto"/>
          </w:divBdr>
        </w:div>
        <w:div w:id="1500921671">
          <w:marLeft w:val="0"/>
          <w:marRight w:val="0"/>
          <w:marTop w:val="0"/>
          <w:marBottom w:val="0"/>
          <w:divBdr>
            <w:top w:val="none" w:sz="0" w:space="0" w:color="auto"/>
            <w:left w:val="none" w:sz="0" w:space="0" w:color="auto"/>
            <w:bottom w:val="none" w:sz="0" w:space="0" w:color="auto"/>
            <w:right w:val="none" w:sz="0" w:space="0" w:color="auto"/>
          </w:divBdr>
        </w:div>
        <w:div w:id="785585765">
          <w:marLeft w:val="0"/>
          <w:marRight w:val="0"/>
          <w:marTop w:val="0"/>
          <w:marBottom w:val="0"/>
          <w:divBdr>
            <w:top w:val="none" w:sz="0" w:space="0" w:color="auto"/>
            <w:left w:val="none" w:sz="0" w:space="0" w:color="auto"/>
            <w:bottom w:val="none" w:sz="0" w:space="0" w:color="auto"/>
            <w:right w:val="none" w:sz="0" w:space="0" w:color="auto"/>
          </w:divBdr>
        </w:div>
        <w:div w:id="770397855">
          <w:marLeft w:val="0"/>
          <w:marRight w:val="0"/>
          <w:marTop w:val="0"/>
          <w:marBottom w:val="0"/>
          <w:divBdr>
            <w:top w:val="none" w:sz="0" w:space="0" w:color="auto"/>
            <w:left w:val="none" w:sz="0" w:space="0" w:color="auto"/>
            <w:bottom w:val="none" w:sz="0" w:space="0" w:color="auto"/>
            <w:right w:val="none" w:sz="0" w:space="0" w:color="auto"/>
          </w:divBdr>
        </w:div>
        <w:div w:id="730420609">
          <w:marLeft w:val="0"/>
          <w:marRight w:val="0"/>
          <w:marTop w:val="0"/>
          <w:marBottom w:val="0"/>
          <w:divBdr>
            <w:top w:val="none" w:sz="0" w:space="0" w:color="auto"/>
            <w:left w:val="none" w:sz="0" w:space="0" w:color="auto"/>
            <w:bottom w:val="none" w:sz="0" w:space="0" w:color="auto"/>
            <w:right w:val="none" w:sz="0" w:space="0" w:color="auto"/>
          </w:divBdr>
        </w:div>
        <w:div w:id="1278829723">
          <w:marLeft w:val="0"/>
          <w:marRight w:val="0"/>
          <w:marTop w:val="0"/>
          <w:marBottom w:val="0"/>
          <w:divBdr>
            <w:top w:val="none" w:sz="0" w:space="0" w:color="auto"/>
            <w:left w:val="none" w:sz="0" w:space="0" w:color="auto"/>
            <w:bottom w:val="none" w:sz="0" w:space="0" w:color="auto"/>
            <w:right w:val="none" w:sz="0" w:space="0" w:color="auto"/>
          </w:divBdr>
        </w:div>
        <w:div w:id="993341017">
          <w:marLeft w:val="0"/>
          <w:marRight w:val="0"/>
          <w:marTop w:val="0"/>
          <w:marBottom w:val="0"/>
          <w:divBdr>
            <w:top w:val="none" w:sz="0" w:space="0" w:color="auto"/>
            <w:left w:val="none" w:sz="0" w:space="0" w:color="auto"/>
            <w:bottom w:val="none" w:sz="0" w:space="0" w:color="auto"/>
            <w:right w:val="none" w:sz="0" w:space="0" w:color="auto"/>
          </w:divBdr>
        </w:div>
        <w:div w:id="334963642">
          <w:marLeft w:val="0"/>
          <w:marRight w:val="0"/>
          <w:marTop w:val="0"/>
          <w:marBottom w:val="0"/>
          <w:divBdr>
            <w:top w:val="none" w:sz="0" w:space="0" w:color="auto"/>
            <w:left w:val="none" w:sz="0" w:space="0" w:color="auto"/>
            <w:bottom w:val="none" w:sz="0" w:space="0" w:color="auto"/>
            <w:right w:val="none" w:sz="0" w:space="0" w:color="auto"/>
          </w:divBdr>
        </w:div>
        <w:div w:id="953639455">
          <w:marLeft w:val="0"/>
          <w:marRight w:val="0"/>
          <w:marTop w:val="0"/>
          <w:marBottom w:val="0"/>
          <w:divBdr>
            <w:top w:val="none" w:sz="0" w:space="0" w:color="auto"/>
            <w:left w:val="none" w:sz="0" w:space="0" w:color="auto"/>
            <w:bottom w:val="none" w:sz="0" w:space="0" w:color="auto"/>
            <w:right w:val="none" w:sz="0" w:space="0" w:color="auto"/>
          </w:divBdr>
        </w:div>
        <w:div w:id="1676417290">
          <w:marLeft w:val="0"/>
          <w:marRight w:val="0"/>
          <w:marTop w:val="0"/>
          <w:marBottom w:val="0"/>
          <w:divBdr>
            <w:top w:val="none" w:sz="0" w:space="0" w:color="auto"/>
            <w:left w:val="none" w:sz="0" w:space="0" w:color="auto"/>
            <w:bottom w:val="none" w:sz="0" w:space="0" w:color="auto"/>
            <w:right w:val="none" w:sz="0" w:space="0" w:color="auto"/>
          </w:divBdr>
        </w:div>
        <w:div w:id="354889441">
          <w:marLeft w:val="0"/>
          <w:marRight w:val="0"/>
          <w:marTop w:val="0"/>
          <w:marBottom w:val="0"/>
          <w:divBdr>
            <w:top w:val="none" w:sz="0" w:space="0" w:color="auto"/>
            <w:left w:val="none" w:sz="0" w:space="0" w:color="auto"/>
            <w:bottom w:val="none" w:sz="0" w:space="0" w:color="auto"/>
            <w:right w:val="none" w:sz="0" w:space="0" w:color="auto"/>
          </w:divBdr>
        </w:div>
        <w:div w:id="2052682281">
          <w:marLeft w:val="0"/>
          <w:marRight w:val="0"/>
          <w:marTop w:val="0"/>
          <w:marBottom w:val="0"/>
          <w:divBdr>
            <w:top w:val="none" w:sz="0" w:space="0" w:color="auto"/>
            <w:left w:val="none" w:sz="0" w:space="0" w:color="auto"/>
            <w:bottom w:val="none" w:sz="0" w:space="0" w:color="auto"/>
            <w:right w:val="none" w:sz="0" w:space="0" w:color="auto"/>
          </w:divBdr>
        </w:div>
        <w:div w:id="1033841988">
          <w:marLeft w:val="0"/>
          <w:marRight w:val="0"/>
          <w:marTop w:val="0"/>
          <w:marBottom w:val="0"/>
          <w:divBdr>
            <w:top w:val="none" w:sz="0" w:space="0" w:color="auto"/>
            <w:left w:val="none" w:sz="0" w:space="0" w:color="auto"/>
            <w:bottom w:val="none" w:sz="0" w:space="0" w:color="auto"/>
            <w:right w:val="none" w:sz="0" w:space="0" w:color="auto"/>
          </w:divBdr>
        </w:div>
        <w:div w:id="815802414">
          <w:marLeft w:val="0"/>
          <w:marRight w:val="0"/>
          <w:marTop w:val="0"/>
          <w:marBottom w:val="0"/>
          <w:divBdr>
            <w:top w:val="none" w:sz="0" w:space="0" w:color="auto"/>
            <w:left w:val="none" w:sz="0" w:space="0" w:color="auto"/>
            <w:bottom w:val="none" w:sz="0" w:space="0" w:color="auto"/>
            <w:right w:val="none" w:sz="0" w:space="0" w:color="auto"/>
          </w:divBdr>
        </w:div>
        <w:div w:id="1867870377">
          <w:marLeft w:val="0"/>
          <w:marRight w:val="0"/>
          <w:marTop w:val="0"/>
          <w:marBottom w:val="0"/>
          <w:divBdr>
            <w:top w:val="none" w:sz="0" w:space="0" w:color="auto"/>
            <w:left w:val="none" w:sz="0" w:space="0" w:color="auto"/>
            <w:bottom w:val="none" w:sz="0" w:space="0" w:color="auto"/>
            <w:right w:val="none" w:sz="0" w:space="0" w:color="auto"/>
          </w:divBdr>
        </w:div>
        <w:div w:id="655767478">
          <w:marLeft w:val="0"/>
          <w:marRight w:val="0"/>
          <w:marTop w:val="0"/>
          <w:marBottom w:val="0"/>
          <w:divBdr>
            <w:top w:val="none" w:sz="0" w:space="0" w:color="auto"/>
            <w:left w:val="none" w:sz="0" w:space="0" w:color="auto"/>
            <w:bottom w:val="none" w:sz="0" w:space="0" w:color="auto"/>
            <w:right w:val="none" w:sz="0" w:space="0" w:color="auto"/>
          </w:divBdr>
        </w:div>
        <w:div w:id="1557085835">
          <w:marLeft w:val="0"/>
          <w:marRight w:val="0"/>
          <w:marTop w:val="0"/>
          <w:marBottom w:val="0"/>
          <w:divBdr>
            <w:top w:val="none" w:sz="0" w:space="0" w:color="auto"/>
            <w:left w:val="none" w:sz="0" w:space="0" w:color="auto"/>
            <w:bottom w:val="none" w:sz="0" w:space="0" w:color="auto"/>
            <w:right w:val="none" w:sz="0" w:space="0" w:color="auto"/>
          </w:divBdr>
        </w:div>
        <w:div w:id="89669872">
          <w:marLeft w:val="0"/>
          <w:marRight w:val="0"/>
          <w:marTop w:val="0"/>
          <w:marBottom w:val="0"/>
          <w:divBdr>
            <w:top w:val="none" w:sz="0" w:space="0" w:color="auto"/>
            <w:left w:val="none" w:sz="0" w:space="0" w:color="auto"/>
            <w:bottom w:val="none" w:sz="0" w:space="0" w:color="auto"/>
            <w:right w:val="none" w:sz="0" w:space="0" w:color="auto"/>
          </w:divBdr>
        </w:div>
        <w:div w:id="1316495968">
          <w:marLeft w:val="0"/>
          <w:marRight w:val="0"/>
          <w:marTop w:val="0"/>
          <w:marBottom w:val="0"/>
          <w:divBdr>
            <w:top w:val="none" w:sz="0" w:space="0" w:color="auto"/>
            <w:left w:val="none" w:sz="0" w:space="0" w:color="auto"/>
            <w:bottom w:val="none" w:sz="0" w:space="0" w:color="auto"/>
            <w:right w:val="none" w:sz="0" w:space="0" w:color="auto"/>
          </w:divBdr>
        </w:div>
        <w:div w:id="1092823423">
          <w:marLeft w:val="0"/>
          <w:marRight w:val="0"/>
          <w:marTop w:val="0"/>
          <w:marBottom w:val="0"/>
          <w:divBdr>
            <w:top w:val="none" w:sz="0" w:space="0" w:color="auto"/>
            <w:left w:val="none" w:sz="0" w:space="0" w:color="auto"/>
            <w:bottom w:val="none" w:sz="0" w:space="0" w:color="auto"/>
            <w:right w:val="none" w:sz="0" w:space="0" w:color="auto"/>
          </w:divBdr>
        </w:div>
        <w:div w:id="24171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Лист1!$B$4</c:f>
              <c:strCache>
                <c:ptCount val="1"/>
                <c:pt idx="0">
                  <c:v>Індекс інфляції</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anchor="ctr" anchorCtr="1"/>
              <a:lstStyle/>
              <a:p>
                <a:pPr>
                  <a:defRPr sz="1200" b="1" i="1" u="none" strike="noStrike" kern="1200" baseline="0">
                    <a:solidFill>
                      <a:srgbClr val="C00000"/>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Лист1!$C$3:$L$3</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Лист1!$C$4:$L$4</c:f>
              <c:numCache>
                <c:formatCode>0.00</c:formatCode>
                <c:ptCount val="10"/>
                <c:pt idx="0">
                  <c:v>109.1</c:v>
                </c:pt>
                <c:pt idx="1">
                  <c:v>104.6</c:v>
                </c:pt>
                <c:pt idx="2">
                  <c:v>99.8</c:v>
                </c:pt>
                <c:pt idx="3">
                  <c:v>100.5</c:v>
                </c:pt>
                <c:pt idx="4">
                  <c:v>124.9</c:v>
                </c:pt>
                <c:pt idx="5">
                  <c:v>143.30000000000001</c:v>
                </c:pt>
                <c:pt idx="6">
                  <c:v>112.4</c:v>
                </c:pt>
                <c:pt idx="7">
                  <c:v>113.7</c:v>
                </c:pt>
                <c:pt idx="8">
                  <c:v>109.8</c:v>
                </c:pt>
                <c:pt idx="9">
                  <c:v>104.1</c:v>
                </c:pt>
              </c:numCache>
            </c:numRef>
          </c:val>
          <c:extLst xmlns:c16r2="http://schemas.microsoft.com/office/drawing/2015/06/chart">
            <c:ext xmlns:c16="http://schemas.microsoft.com/office/drawing/2014/chart" uri="{C3380CC4-5D6E-409C-BE32-E72D297353CC}">
              <c16:uniqueId val="{00000000-5ACF-4B6F-9B3F-DD74E349E02C}"/>
            </c:ext>
          </c:extLst>
        </c:ser>
        <c:dLbls>
          <c:showVal val="1"/>
        </c:dLbls>
        <c:gapWidth val="41"/>
        <c:axId val="72709248"/>
        <c:axId val="72711168"/>
      </c:barChart>
      <c:catAx>
        <c:axId val="7270924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200" b="1" i="1" u="none" strike="noStrike" kern="1200" baseline="0">
                <a:solidFill>
                  <a:schemeClr val="dk1">
                    <a:lumMod val="65000"/>
                    <a:lumOff val="35000"/>
                  </a:schemeClr>
                </a:solidFill>
                <a:effectLst/>
                <a:latin typeface="+mn-lt"/>
                <a:ea typeface="+mn-ea"/>
                <a:cs typeface="+mn-cs"/>
              </a:defRPr>
            </a:pPr>
            <a:endParaRPr lang="ru-RU"/>
          </a:p>
        </c:txPr>
        <c:crossAx val="72711168"/>
        <c:crosses val="autoZero"/>
        <c:auto val="1"/>
        <c:lblAlgn val="ctr"/>
        <c:lblOffset val="100"/>
      </c:catAx>
      <c:valAx>
        <c:axId val="72711168"/>
        <c:scaling>
          <c:orientation val="minMax"/>
        </c:scaling>
        <c:delete val="1"/>
        <c:axPos val="l"/>
        <c:numFmt formatCode="0.00" sourceLinked="1"/>
        <c:majorTickMark val="none"/>
        <c:tickLblPos val="nextTo"/>
        <c:crossAx val="7270924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noFill/>
      <a:round/>
    </a:ln>
    <a:effectLst/>
  </c:spPr>
  <c:txPr>
    <a:bodyPr/>
    <a:lstStyle/>
    <a:p>
      <a:pPr>
        <a:defRPr sz="1200" b="1" i="1" baseline="0"/>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24</Pages>
  <Words>5759</Words>
  <Characters>32827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Асус</cp:lastModifiedBy>
  <cp:revision>3</cp:revision>
  <dcterms:created xsi:type="dcterms:W3CDTF">2022-10-12T09:56:00Z</dcterms:created>
  <dcterms:modified xsi:type="dcterms:W3CDTF">2022-10-12T09:59:00Z</dcterms:modified>
</cp:coreProperties>
</file>