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ED" w:rsidRPr="00E70650" w:rsidRDefault="002B1263" w:rsidP="00D72D4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ТЕМА 3.</w:t>
      </w:r>
    </w:p>
    <w:p w:rsidR="002B1263" w:rsidRPr="00E70650" w:rsidRDefault="006530ED" w:rsidP="00D72D4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СУТНІСТЬ ТА ЗАВДАННЯ ТЕХНОЛОГІЇ ДІЯЛЬНОСТІ АНАЛІТИКІВ ПИТАНЬ ФІНАНСОВО-ЕКОНОМІЧНОЇ БЕЗПЕКИ</w:t>
      </w:r>
    </w:p>
    <w:p w:rsidR="006530ED" w:rsidRPr="00E70650" w:rsidRDefault="006530ED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6530ED" w:rsidRPr="00E70650" w:rsidRDefault="006530ED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2B1263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530ED" w:rsidRPr="00E7065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Питання:</w:t>
      </w:r>
    </w:p>
    <w:p w:rsidR="002B1263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530ED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3.1</w:t>
      </w:r>
      <w:r w:rsidR="00424404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Мета та завдання системи аналітичного забезпечення економічної безпеки підприємства.</w:t>
      </w:r>
    </w:p>
    <w:p w:rsidR="002B1263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530ED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3.2</w:t>
      </w:r>
      <w:r w:rsidR="00424404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Основні функції, загальні принципи побудови та організація комплексної системи забезпечення фінансово-економічної безпеки підприємства.</w:t>
      </w:r>
    </w:p>
    <w:p w:rsidR="002B1263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530ED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3.3</w:t>
      </w:r>
      <w:r w:rsidR="00424404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Технології формування системи аналітичного забезпечення економічної безпеки підприємств.</w:t>
      </w:r>
    </w:p>
    <w:p w:rsidR="002B1263" w:rsidRPr="00E70650" w:rsidRDefault="002B1263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6530ED" w:rsidRPr="00E70650" w:rsidRDefault="006530ED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6530ED" w:rsidRPr="00E70650" w:rsidRDefault="006530ED" w:rsidP="00D72D4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E7065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3.1 Мета та завдання системи аналітичного забезпечення економічної безпеки підприємства</w:t>
      </w:r>
    </w:p>
    <w:p w:rsidR="006530ED" w:rsidRPr="00E70650" w:rsidRDefault="006530ED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6530ED" w:rsidRPr="00E70650" w:rsidRDefault="006530ED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2B1263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Основною метою аналітич</w:t>
      </w:r>
      <w:r w:rsidR="009D6E42">
        <w:rPr>
          <w:rFonts w:ascii="Times New Roman" w:hAnsi="Times New Roman" w:cs="Times New Roman"/>
          <w:noProof/>
          <w:sz w:val="28"/>
          <w:szCs w:val="28"/>
          <w:lang w:val="uk-UA"/>
        </w:rPr>
        <w:t>ної роботи в системі фінансово-</w:t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економічної безпеки є – пр</w:t>
      </w:r>
      <w:r w:rsidR="00E70650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оведення діагностики фінансово-</w:t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господарського стану підприємства з метою мінімізації внутрішніх та зовнішніх загроз, а також забезпечення інформаційної безпеки та захисту комерційної таємниці підприємства.</w:t>
      </w:r>
    </w:p>
    <w:p w:rsidR="002B1263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Відповідно до поставленої мети необхідне виконання таких завдань системи аналітичного забезпечення економічної безпеки</w:t>
      </w:r>
      <w:r w:rsidR="009D6E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підприємства:</w:t>
      </w:r>
    </w:p>
    <w:p w:rsidR="002B1263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424404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</w:t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Раціоналізація фінансово-аналітичних процесів, що відбуваються на підприємстві.</w:t>
      </w:r>
    </w:p>
    <w:p w:rsidR="002B1263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424404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Скорочення циклів їх функціонування, за рахунок зменшення часу на виконання окремих робіт.</w:t>
      </w:r>
    </w:p>
    <w:p w:rsidR="002B1263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424404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Підвищення якості аналітичної інформації з питань фінансово- економічної безпеки.</w:t>
      </w:r>
    </w:p>
    <w:p w:rsidR="002B1263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424404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4. </w:t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Забезпечення ефективного використання фінансово-аналітичної інформації в управлінні підприємством.</w:t>
      </w:r>
    </w:p>
    <w:p w:rsidR="002B1263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424404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5. </w:t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Раціональна організація праці аналітиків, зайнятих збором, обробкою та видачею аналітичної інформації, яка використовується в системі фінансово-економічної безпеки підприємства.</w:t>
      </w:r>
    </w:p>
    <w:p w:rsidR="002B1263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424404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6. </w:t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Забезпечення ефективності обліку та аналізу документів, їх вдосконалення в умовах реальних і потенційних загроз і небезпек функціонування системи економічної безпеки.</w:t>
      </w:r>
    </w:p>
    <w:p w:rsidR="002B1263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Організація аналітичного процесу з питань ФЕБ повинна забезпечити виконання наступних вимог:</w:t>
      </w:r>
    </w:p>
    <w:p w:rsidR="002B1263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424404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</w:t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Мінімізація шляхів збору і обробки інформації, яка використовується в системі фінансово-економічної безпеки підприємства.</w:t>
      </w:r>
    </w:p>
    <w:p w:rsidR="002B1263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ab/>
      </w:r>
      <w:r w:rsidR="00424404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Мінімізація кількості операцій та документації, пов’язаних із системою економічної безпеки.</w:t>
      </w:r>
    </w:p>
    <w:p w:rsidR="002B1263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424404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Підвищення ефективності праці аналітиків з питань фінансово- економічної безпеки підприємства.</w:t>
      </w:r>
    </w:p>
    <w:p w:rsidR="009028E8" w:rsidRPr="00E70650" w:rsidRDefault="009028E8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9028E8" w:rsidRPr="00E70650" w:rsidRDefault="009028E8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9028E8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9028E8" w:rsidRPr="00E7065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3.2 Основні функції, загальні принципи побудови та організація комплексної системи забезпечення фінансово-економічної безпеки підприємства.</w:t>
      </w:r>
    </w:p>
    <w:p w:rsidR="009028E8" w:rsidRDefault="009028E8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6B11EE" w:rsidRPr="00E70650" w:rsidRDefault="006B11EE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2B1263" w:rsidRPr="00E70650" w:rsidRDefault="009028E8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В діяльності підприємств склалося декілька напрямків організації аналітичної роботи з питань фінансово-економічної безпеки:</w:t>
      </w:r>
    </w:p>
    <w:p w:rsidR="002B1263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424404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</w:t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Децентралізована форма організації аналітичної роботи - аналіз показників діяльності підприємства проводиться всіма структурними підрозділами за напрямками їх роботи.</w:t>
      </w:r>
    </w:p>
    <w:p w:rsidR="00E70650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Перевага цієї форми: кожний відділ знає свою ділянку роботи. </w:t>
      </w:r>
    </w:p>
    <w:p w:rsidR="002B1263" w:rsidRPr="00E70650" w:rsidRDefault="00E70650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Недоліки:</w:t>
      </w:r>
    </w:p>
    <w:p w:rsidR="002B1263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424404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немає комплексності аналізу всієї фінансово-господарської роботи підприємства в цілому;</w:t>
      </w:r>
    </w:p>
    <w:p w:rsidR="002B1263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424404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можливе дублювання деяких питань аналізу.</w:t>
      </w:r>
    </w:p>
    <w:p w:rsidR="002B1263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424404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Централізована форма - аналіз проводиться спеціальними аналітичними відділами, б</w:t>
      </w:r>
      <w:r w:rsidR="0013568A">
        <w:rPr>
          <w:rFonts w:ascii="Times New Roman" w:hAnsi="Times New Roman" w:cs="Times New Roman"/>
          <w:noProof/>
          <w:sz w:val="28"/>
          <w:szCs w:val="28"/>
          <w:lang w:val="uk-UA"/>
        </w:rPr>
        <w:t>юро та лабораторіями фінансово-</w:t>
      </w:r>
      <w:bookmarkStart w:id="0" w:name="_GoBack"/>
      <w:bookmarkEnd w:id="0"/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економічного аналізу.</w:t>
      </w:r>
    </w:p>
    <w:p w:rsidR="002B1263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Функцією відділу або лабораторії фінансово-економічного аналізу є: проведення аналізу за місяць, квартал, півріччя або інший період в цілому по підприємству і в тому числі за окремими підрозділами за всією системою показників діяльності підприємства.</w:t>
      </w:r>
    </w:p>
    <w:p w:rsidR="002B1263" w:rsidRPr="00E70650" w:rsidRDefault="00E70650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424404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Змішана форма - аналіз проводиться окремими структурними підрозділами, а також спеціальними відділами.</w:t>
      </w:r>
    </w:p>
    <w:p w:rsidR="002B1263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Під об'єктом організації розуміють явище або процес, на який направлена організаторська діяльність.</w:t>
      </w:r>
    </w:p>
    <w:p w:rsidR="002B1263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Об'єктами організації аналізу з питань фінансово-економічної</w:t>
      </w: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безпеки є:</w:t>
      </w:r>
    </w:p>
    <w:p w:rsidR="002B1263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424404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аналітичний процес;</w:t>
      </w:r>
    </w:p>
    <w:p w:rsidR="002B1263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424404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праця виконавців:</w:t>
      </w:r>
    </w:p>
    <w:p w:rsidR="002B1263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- забезпеченість аналізу (організаційна, інформаційна, технічна).</w:t>
      </w:r>
    </w:p>
    <w:p w:rsidR="002B1263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Оцінювання поточного рівня забезпечення фінансової безпеки підприємства здійснюється на основі детального аналізу загроз негативних впливів на фінансову безпеку і можливих збитків підприємства за реалізації цих негативних впливів, а також існуючої на підприємстві системи аналізу і оцінювання всебічних результатів його фінансово-господарської діяльності.</w:t>
      </w:r>
    </w:p>
    <w:p w:rsidR="002B1263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Оцінювання поточного рівня забезпечення фінансово-економічної безпеки підприємства здійснюється за такими напрямами:</w:t>
      </w:r>
    </w:p>
    <w:p w:rsidR="002B1263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424404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</w:t>
      </w:r>
      <w:r w:rsidR="006B11E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Аналіз фінансової звітності підприємства </w:t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(дослідження ліквідності, рентабельності, структури прибутку та витрат тощо);</w:t>
      </w:r>
    </w:p>
    <w:p w:rsidR="002B1263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ab/>
      </w:r>
      <w:r w:rsidR="00424404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Аналіз конкурентоспроможності підприємства;</w:t>
      </w:r>
    </w:p>
    <w:p w:rsidR="002B1263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424404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Аналіз асортименту продукції підприємства;</w:t>
      </w:r>
    </w:p>
    <w:p w:rsidR="002B1263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424404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4. </w:t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Аналіз кваліфікації та потенціалу персоналу, системи управління підприємством;</w:t>
      </w:r>
    </w:p>
    <w:p w:rsidR="00E70650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424404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5. </w:t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Аналіз теперішньої та прогнозованої вартості капіталу; </w:t>
      </w:r>
    </w:p>
    <w:p w:rsidR="002B1263" w:rsidRPr="00E70650" w:rsidRDefault="00E70650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6.Аналіз поставок і клієнтури підприємства;</w:t>
      </w:r>
    </w:p>
    <w:p w:rsidR="002B1263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424404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7. </w:t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Аналіз кредитної політики суб’єкта господарювання;</w:t>
      </w:r>
    </w:p>
    <w:p w:rsidR="002B1263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424404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8. </w:t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Аналіз динаміки цінних паперів підприємства тощо.</w:t>
      </w:r>
    </w:p>
    <w:p w:rsidR="002B1263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Оцінювання рівня фінансової безпеки підприємства повинно базуватися на таких принципах:</w:t>
      </w:r>
    </w:p>
    <w:p w:rsidR="002B1263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424404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відповідність параметрів оцінювання змісту процесів у системі фінансово-економічної безпеки підприємства;</w:t>
      </w:r>
    </w:p>
    <w:p w:rsidR="002B1263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424404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комплексність, тобто врахування всіх чинників, що впливають на загрози фінансово-економічній безпеці підприємства;</w:t>
      </w:r>
    </w:p>
    <w:p w:rsidR="002B1263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424404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виділення головних елементів наявних або потенційних небезпек і загроз;</w:t>
      </w:r>
    </w:p>
    <w:p w:rsidR="002B1263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424404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періодичність оцінювання рівня фінансово-економічної безпеки підприємства;</w:t>
      </w:r>
    </w:p>
    <w:p w:rsidR="002B1263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424404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можливість застосування необхідних запобіжних, попереджувальних, профілактичних та корегуючих заходів щодо виявлених або потенційних загроз.</w:t>
      </w:r>
    </w:p>
    <w:p w:rsidR="009028E8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</w:p>
    <w:p w:rsidR="009028E8" w:rsidRPr="00E70650" w:rsidRDefault="009028E8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9028E8" w:rsidRPr="00E70650" w:rsidRDefault="009028E8" w:rsidP="00D72D4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E7065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3.3 Технології формування системи аналітичного забезпечення економічної безпеки підприємств.</w:t>
      </w:r>
    </w:p>
    <w:p w:rsidR="00E70650" w:rsidRPr="00E70650" w:rsidRDefault="009028E8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</w:p>
    <w:p w:rsidR="00E70650" w:rsidRPr="00E70650" w:rsidRDefault="00E70650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2B1263" w:rsidRPr="00E70650" w:rsidRDefault="00E70650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Механізм формування системи аналітичного забезпечення фінансово-економічної безпеки підприємства – це набір аналітичних та економічних засобів, а також система організації їх використання і контролю, за допомогою яких досягається можливість стабільного та безпечного функціонування підприємства.</w:t>
      </w:r>
    </w:p>
    <w:p w:rsidR="002B1263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Алгоритм проведення аналітичного забезпечення економічної безпеки такий:</w:t>
      </w:r>
    </w:p>
    <w:p w:rsidR="002B1263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424404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</w:t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Визначення структури негативних впливів за кожною функціональною складовою економічної безпеки підприємства, відокремлення об’єктивних і суб’єктивних негативних впливів.</w:t>
      </w:r>
    </w:p>
    <w:p w:rsidR="002B1263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424404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Формування системи заходів, що були вжиті підприємством до моменту проведення оцінки рівня його економічної безпеки для усунення негативних факторів.</w:t>
      </w:r>
    </w:p>
    <w:p w:rsidR="002B1263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424404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Оцінка ефективності вжитих заходів із точки зору ефективності нейтралізації окремих факторів за кожною із функціональних складових.</w:t>
      </w:r>
    </w:p>
    <w:p w:rsidR="002B1263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424404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4. </w:t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Визначення недостатньої ефективності заходів, запроваджених із метою усунення негативних факторів та запобігання можливим негативним </w:t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впливам. Визначення відповідальних за неефективність реалізації запланованих заходів із підвищення рівня безпеки.</w:t>
      </w:r>
    </w:p>
    <w:p w:rsidR="002B1263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424404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5. </w:t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Визначення переліку очікуваних негативних впливів, до якого мають бути зараховані всі можливі негативні фактор , що не були усунуті, вплив яких може поширюватись в майбутньому.</w:t>
      </w:r>
    </w:p>
    <w:p w:rsidR="002B1263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424404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6. </w:t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Розробка рекомендацій щодо усунення негативних впливів та запобігання можливим.</w:t>
      </w:r>
    </w:p>
    <w:p w:rsidR="002B1263" w:rsidRPr="00E70650" w:rsidRDefault="00A04A69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424404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7. </w:t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Оцінювання вартості кожного із запропонованих заходів щодо усунення негативних впливів та визначення виконавців, відповідальних за проведення заходів.</w:t>
      </w:r>
    </w:p>
    <w:p w:rsidR="002B1263" w:rsidRPr="00E70650" w:rsidRDefault="00E70650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Пропонується використовувати так звану карту функціонального аналізу фінансово-економічної безпеки підприємства.</w:t>
      </w:r>
    </w:p>
    <w:p w:rsidR="002B1263" w:rsidRPr="00E70650" w:rsidRDefault="00E70650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На основі карти функціонального аналізу фахівець може оцінювати економічну ефективність дій</w:t>
      </w:r>
      <w:r w:rsidR="009D6E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із підвищення рівня фінансово-</w:t>
      </w:r>
      <w:r w:rsidR="002B1263" w:rsidRPr="00E70650">
        <w:rPr>
          <w:rFonts w:ascii="Times New Roman" w:hAnsi="Times New Roman" w:cs="Times New Roman"/>
          <w:noProof/>
          <w:sz w:val="28"/>
          <w:szCs w:val="28"/>
          <w:lang w:val="uk-UA"/>
        </w:rPr>
        <w:t>економічної безпеки з метою запобігання можливим та реальним негативним впливам. Таке оцінювання має проводитися в розрізі функціональних складових економічної безпеки підприємства на підставі карти функціонального аналізу, а також у розрізі окремих підрозділів підприємства.</w:t>
      </w:r>
    </w:p>
    <w:p w:rsidR="0061741D" w:rsidRPr="00E70650" w:rsidRDefault="0061741D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FF21AA" w:rsidRPr="009D6E42" w:rsidRDefault="0061741D" w:rsidP="00D72D4A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Таблиця 3.1</w:t>
      </w:r>
    </w:p>
    <w:p w:rsidR="00AD0295" w:rsidRPr="00E70650" w:rsidRDefault="00AD0295" w:rsidP="00D72D4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E7065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Карта функціонального аналізу фінансово-економічної безпеки підприємства</w:t>
      </w:r>
    </w:p>
    <w:p w:rsidR="00AD0295" w:rsidRPr="0061741D" w:rsidRDefault="00AD0295" w:rsidP="00D72D4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7"/>
        <w:gridCol w:w="559"/>
        <w:gridCol w:w="557"/>
        <w:gridCol w:w="646"/>
        <w:gridCol w:w="644"/>
        <w:gridCol w:w="608"/>
        <w:gridCol w:w="608"/>
        <w:gridCol w:w="744"/>
        <w:gridCol w:w="744"/>
        <w:gridCol w:w="474"/>
        <w:gridCol w:w="477"/>
        <w:gridCol w:w="586"/>
        <w:gridCol w:w="586"/>
        <w:gridCol w:w="547"/>
        <w:gridCol w:w="542"/>
        <w:gridCol w:w="546"/>
      </w:tblGrid>
      <w:tr w:rsidR="00AD0295" w:rsidTr="0061741D">
        <w:trPr>
          <w:trHeight w:val="383"/>
          <w:jc w:val="center"/>
        </w:trPr>
        <w:tc>
          <w:tcPr>
            <w:tcW w:w="279" w:type="pct"/>
            <w:vMerge w:val="restart"/>
            <w:textDirection w:val="btLr"/>
            <w:vAlign w:val="center"/>
          </w:tcPr>
          <w:p w:rsidR="00AD0295" w:rsidRDefault="00AD0295" w:rsidP="00D72D4A">
            <w:pPr>
              <w:pStyle w:val="TableParagraph"/>
              <w:spacing w:before="10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Функціональні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складові</w:t>
            </w:r>
          </w:p>
        </w:tc>
        <w:tc>
          <w:tcPr>
            <w:tcW w:w="1994" w:type="pct"/>
            <w:gridSpan w:val="6"/>
            <w:vAlign w:val="center"/>
          </w:tcPr>
          <w:p w:rsidR="00AD0295" w:rsidRDefault="00AD0295" w:rsidP="00D72D4A">
            <w:pPr>
              <w:pStyle w:val="TableParagraph"/>
              <w:ind w:left="5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Негативні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впливи</w:t>
            </w:r>
          </w:p>
        </w:tc>
        <w:tc>
          <w:tcPr>
            <w:tcW w:w="557" w:type="pct"/>
            <w:gridSpan w:val="2"/>
            <w:vMerge w:val="restart"/>
            <w:vAlign w:val="center"/>
          </w:tcPr>
          <w:p w:rsidR="00AD0295" w:rsidRDefault="00AD0295" w:rsidP="00D72D4A">
            <w:pPr>
              <w:pStyle w:val="TableParagraph"/>
              <w:ind w:left="133" w:right="116" w:firstLine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</w:t>
            </w:r>
            <w:r w:rsidR="0061741D">
              <w:rPr>
                <w:b/>
                <w:sz w:val="20"/>
              </w:rPr>
              <w:t>вен</w:t>
            </w:r>
            <w:r>
              <w:rPr>
                <w:b/>
                <w:sz w:val="20"/>
              </w:rPr>
              <w:t>тивні</w:t>
            </w:r>
          </w:p>
          <w:p w:rsidR="00AD0295" w:rsidRDefault="00AD0295" w:rsidP="00D72D4A">
            <w:pPr>
              <w:pStyle w:val="TableParagraph"/>
              <w:ind w:left="272" w:right="161" w:hanging="8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захо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ди</w:t>
            </w:r>
            <w:proofErr w:type="spellEnd"/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AD0295" w:rsidRDefault="00AD0295" w:rsidP="00D72D4A">
            <w:pPr>
              <w:pStyle w:val="TableParagraph"/>
              <w:spacing w:before="113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Отриманий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ефект</w:t>
            </w:r>
          </w:p>
        </w:tc>
        <w:tc>
          <w:tcPr>
            <w:tcW w:w="279" w:type="pct"/>
            <w:vMerge w:val="restart"/>
            <w:textDirection w:val="btLr"/>
            <w:vAlign w:val="center"/>
          </w:tcPr>
          <w:p w:rsidR="00AD0295" w:rsidRDefault="00AD0295" w:rsidP="00D72D4A">
            <w:pPr>
              <w:pStyle w:val="TableParagraph"/>
              <w:spacing w:before="116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Ефективність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заходів</w:t>
            </w:r>
          </w:p>
        </w:tc>
        <w:tc>
          <w:tcPr>
            <w:tcW w:w="674" w:type="pct"/>
            <w:gridSpan w:val="2"/>
            <w:vMerge w:val="restart"/>
            <w:vAlign w:val="center"/>
          </w:tcPr>
          <w:p w:rsidR="00AD0295" w:rsidRDefault="00AD0295" w:rsidP="00D72D4A">
            <w:pPr>
              <w:pStyle w:val="TableParagraph"/>
              <w:ind w:left="116" w:right="12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Очікув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ані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впливи</w:t>
            </w:r>
          </w:p>
        </w:tc>
        <w:tc>
          <w:tcPr>
            <w:tcW w:w="940" w:type="pct"/>
            <w:gridSpan w:val="3"/>
            <w:vMerge w:val="restart"/>
            <w:vAlign w:val="center"/>
          </w:tcPr>
          <w:p w:rsidR="00AD0295" w:rsidRDefault="00AD0295" w:rsidP="00D72D4A">
            <w:pPr>
              <w:pStyle w:val="TableParagraph"/>
              <w:ind w:left="119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Рекомендовані</w:t>
            </w:r>
          </w:p>
          <w:p w:rsidR="00AD0295" w:rsidRDefault="00AD0295" w:rsidP="00D72D4A">
            <w:pPr>
              <w:pStyle w:val="TableParagraph"/>
              <w:ind w:left="119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заходи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з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їх</w:t>
            </w:r>
            <w:r w:rsidR="0061741D"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запобігання</w:t>
            </w:r>
          </w:p>
        </w:tc>
      </w:tr>
      <w:tr w:rsidR="0061741D" w:rsidTr="0061741D">
        <w:trPr>
          <w:trHeight w:val="755"/>
          <w:jc w:val="center"/>
        </w:trPr>
        <w:tc>
          <w:tcPr>
            <w:tcW w:w="279" w:type="pct"/>
            <w:vMerge/>
            <w:tcBorders>
              <w:top w:val="nil"/>
            </w:tcBorders>
            <w:textDirection w:val="btLr"/>
            <w:vAlign w:val="center"/>
          </w:tcPr>
          <w:p w:rsidR="00AD0295" w:rsidRPr="00D72D4A" w:rsidRDefault="00AD0295" w:rsidP="00D72D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9" w:type="pct"/>
            <w:gridSpan w:val="2"/>
            <w:vAlign w:val="center"/>
          </w:tcPr>
          <w:p w:rsidR="00AD0295" w:rsidRDefault="00AD0295" w:rsidP="00D72D4A">
            <w:pPr>
              <w:pStyle w:val="TableParagraph"/>
              <w:ind w:left="107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Очікувані</w:t>
            </w:r>
          </w:p>
        </w:tc>
        <w:tc>
          <w:tcPr>
            <w:tcW w:w="737" w:type="pct"/>
            <w:gridSpan w:val="2"/>
            <w:vAlign w:val="center"/>
          </w:tcPr>
          <w:p w:rsidR="00AD0295" w:rsidRDefault="00AD0295" w:rsidP="00D72D4A">
            <w:pPr>
              <w:pStyle w:val="TableParagraph"/>
              <w:ind w:right="9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Реалізов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ані</w:t>
            </w:r>
          </w:p>
        </w:tc>
        <w:tc>
          <w:tcPr>
            <w:tcW w:w="698" w:type="pct"/>
            <w:gridSpan w:val="2"/>
            <w:vAlign w:val="center"/>
          </w:tcPr>
          <w:p w:rsidR="00AD0295" w:rsidRDefault="00AD0295" w:rsidP="00D72D4A">
            <w:pPr>
              <w:pStyle w:val="TableParagraph"/>
              <w:ind w:left="107" w:right="10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Відверн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уті</w:t>
            </w:r>
            <w:proofErr w:type="spellEnd"/>
          </w:p>
        </w:tc>
        <w:tc>
          <w:tcPr>
            <w:tcW w:w="557" w:type="pct"/>
            <w:gridSpan w:val="2"/>
            <w:vMerge/>
            <w:tcBorders>
              <w:top w:val="nil"/>
            </w:tcBorders>
            <w:vAlign w:val="center"/>
          </w:tcPr>
          <w:p w:rsidR="00AD0295" w:rsidRDefault="00AD0295" w:rsidP="00D72D4A">
            <w:pPr>
              <w:rPr>
                <w:sz w:val="2"/>
                <w:szCs w:val="2"/>
              </w:rPr>
            </w:pPr>
          </w:p>
        </w:tc>
        <w:tc>
          <w:tcPr>
            <w:tcW w:w="277" w:type="pct"/>
            <w:vMerge/>
            <w:tcBorders>
              <w:top w:val="nil"/>
            </w:tcBorders>
            <w:textDirection w:val="btLr"/>
            <w:vAlign w:val="center"/>
          </w:tcPr>
          <w:p w:rsidR="00AD0295" w:rsidRDefault="00AD0295" w:rsidP="00D72D4A">
            <w:pPr>
              <w:rPr>
                <w:sz w:val="2"/>
                <w:szCs w:val="2"/>
              </w:rPr>
            </w:pPr>
          </w:p>
        </w:tc>
        <w:tc>
          <w:tcPr>
            <w:tcW w:w="279" w:type="pct"/>
            <w:vMerge/>
            <w:tcBorders>
              <w:top w:val="nil"/>
            </w:tcBorders>
            <w:textDirection w:val="btLr"/>
            <w:vAlign w:val="center"/>
          </w:tcPr>
          <w:p w:rsidR="00AD0295" w:rsidRDefault="00AD0295" w:rsidP="00D72D4A">
            <w:pPr>
              <w:rPr>
                <w:sz w:val="2"/>
                <w:szCs w:val="2"/>
              </w:rPr>
            </w:pPr>
          </w:p>
        </w:tc>
        <w:tc>
          <w:tcPr>
            <w:tcW w:w="674" w:type="pct"/>
            <w:gridSpan w:val="2"/>
            <w:vMerge/>
            <w:tcBorders>
              <w:top w:val="nil"/>
            </w:tcBorders>
            <w:vAlign w:val="center"/>
          </w:tcPr>
          <w:p w:rsidR="00AD0295" w:rsidRDefault="00AD0295" w:rsidP="00D72D4A">
            <w:pPr>
              <w:rPr>
                <w:sz w:val="2"/>
                <w:szCs w:val="2"/>
              </w:rPr>
            </w:pPr>
          </w:p>
        </w:tc>
        <w:tc>
          <w:tcPr>
            <w:tcW w:w="940" w:type="pct"/>
            <w:gridSpan w:val="3"/>
            <w:vMerge/>
            <w:tcBorders>
              <w:top w:val="nil"/>
            </w:tcBorders>
            <w:vAlign w:val="center"/>
          </w:tcPr>
          <w:p w:rsidR="00AD0295" w:rsidRDefault="00AD0295" w:rsidP="00D72D4A">
            <w:pPr>
              <w:rPr>
                <w:sz w:val="2"/>
                <w:szCs w:val="2"/>
              </w:rPr>
            </w:pPr>
          </w:p>
        </w:tc>
      </w:tr>
      <w:tr w:rsidR="0061741D" w:rsidTr="0061741D">
        <w:trPr>
          <w:trHeight w:val="1348"/>
          <w:jc w:val="center"/>
        </w:trPr>
        <w:tc>
          <w:tcPr>
            <w:tcW w:w="279" w:type="pct"/>
            <w:vMerge/>
            <w:tcBorders>
              <w:top w:val="nil"/>
            </w:tcBorders>
            <w:textDirection w:val="btLr"/>
            <w:vAlign w:val="center"/>
          </w:tcPr>
          <w:p w:rsidR="00AD0295" w:rsidRDefault="00AD0295" w:rsidP="00D72D4A">
            <w:pPr>
              <w:rPr>
                <w:sz w:val="2"/>
                <w:szCs w:val="2"/>
              </w:rPr>
            </w:pPr>
          </w:p>
        </w:tc>
        <w:tc>
          <w:tcPr>
            <w:tcW w:w="279" w:type="pct"/>
            <w:textDirection w:val="btLr"/>
            <w:vAlign w:val="center"/>
          </w:tcPr>
          <w:p w:rsidR="00AD0295" w:rsidRDefault="00AD0295" w:rsidP="00D72D4A">
            <w:pPr>
              <w:pStyle w:val="TableParagraph"/>
              <w:spacing w:before="108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</w:t>
            </w:r>
          </w:p>
        </w:tc>
        <w:tc>
          <w:tcPr>
            <w:tcW w:w="279" w:type="pct"/>
            <w:textDirection w:val="btLr"/>
            <w:vAlign w:val="center"/>
          </w:tcPr>
          <w:p w:rsidR="00AD0295" w:rsidRDefault="00AD0295" w:rsidP="00D72D4A">
            <w:pPr>
              <w:pStyle w:val="TableParagraph"/>
              <w:spacing w:before="108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Збиток</w:t>
            </w:r>
          </w:p>
        </w:tc>
        <w:tc>
          <w:tcPr>
            <w:tcW w:w="369" w:type="pct"/>
            <w:textDirection w:val="btLr"/>
            <w:vAlign w:val="center"/>
          </w:tcPr>
          <w:p w:rsidR="00AD0295" w:rsidRDefault="00AD0295" w:rsidP="00D72D4A">
            <w:pPr>
              <w:pStyle w:val="TableParagraph"/>
              <w:spacing w:before="109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</w:t>
            </w:r>
          </w:p>
        </w:tc>
        <w:tc>
          <w:tcPr>
            <w:tcW w:w="368" w:type="pct"/>
            <w:textDirection w:val="btLr"/>
            <w:vAlign w:val="center"/>
          </w:tcPr>
          <w:p w:rsidR="00AD0295" w:rsidRDefault="00AD0295" w:rsidP="00D72D4A">
            <w:pPr>
              <w:pStyle w:val="TableParagraph"/>
              <w:spacing w:before="107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Збиток</w:t>
            </w:r>
          </w:p>
        </w:tc>
        <w:tc>
          <w:tcPr>
            <w:tcW w:w="349" w:type="pct"/>
            <w:textDirection w:val="btLr"/>
            <w:vAlign w:val="center"/>
          </w:tcPr>
          <w:p w:rsidR="00AD0295" w:rsidRDefault="00AD0295" w:rsidP="00D72D4A">
            <w:pPr>
              <w:pStyle w:val="TableParagraph"/>
              <w:spacing w:before="108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</w:t>
            </w:r>
          </w:p>
        </w:tc>
        <w:tc>
          <w:tcPr>
            <w:tcW w:w="349" w:type="pct"/>
            <w:textDirection w:val="btLr"/>
            <w:vAlign w:val="center"/>
          </w:tcPr>
          <w:p w:rsidR="00AD0295" w:rsidRDefault="00AD0295" w:rsidP="00D72D4A">
            <w:pPr>
              <w:pStyle w:val="TableParagraph"/>
              <w:spacing w:before="109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Збиток</w:t>
            </w:r>
          </w:p>
        </w:tc>
        <w:tc>
          <w:tcPr>
            <w:tcW w:w="279" w:type="pct"/>
            <w:textDirection w:val="btLr"/>
            <w:vAlign w:val="center"/>
          </w:tcPr>
          <w:p w:rsidR="00AD0295" w:rsidRDefault="00AD0295" w:rsidP="00D72D4A">
            <w:pPr>
              <w:pStyle w:val="TableParagraph"/>
              <w:spacing w:before="110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Захід</w:t>
            </w:r>
          </w:p>
        </w:tc>
        <w:tc>
          <w:tcPr>
            <w:tcW w:w="279" w:type="pct"/>
            <w:textDirection w:val="btLr"/>
            <w:vAlign w:val="center"/>
          </w:tcPr>
          <w:p w:rsidR="00AD0295" w:rsidRDefault="00AD0295" w:rsidP="00D72D4A">
            <w:pPr>
              <w:pStyle w:val="TableParagraph"/>
              <w:spacing w:before="112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Вартість</w:t>
            </w:r>
          </w:p>
        </w:tc>
        <w:tc>
          <w:tcPr>
            <w:tcW w:w="277" w:type="pct"/>
            <w:vMerge/>
            <w:tcBorders>
              <w:top w:val="nil"/>
            </w:tcBorders>
            <w:textDirection w:val="btLr"/>
            <w:vAlign w:val="center"/>
          </w:tcPr>
          <w:p w:rsidR="00AD0295" w:rsidRDefault="00AD0295" w:rsidP="00D72D4A">
            <w:pPr>
              <w:rPr>
                <w:sz w:val="2"/>
                <w:szCs w:val="2"/>
              </w:rPr>
            </w:pPr>
          </w:p>
        </w:tc>
        <w:tc>
          <w:tcPr>
            <w:tcW w:w="279" w:type="pct"/>
            <w:vMerge/>
            <w:tcBorders>
              <w:top w:val="nil"/>
            </w:tcBorders>
            <w:textDirection w:val="btLr"/>
            <w:vAlign w:val="center"/>
          </w:tcPr>
          <w:p w:rsidR="00AD0295" w:rsidRDefault="00AD0295" w:rsidP="00D72D4A">
            <w:pPr>
              <w:rPr>
                <w:sz w:val="2"/>
                <w:szCs w:val="2"/>
              </w:rPr>
            </w:pPr>
          </w:p>
        </w:tc>
        <w:tc>
          <w:tcPr>
            <w:tcW w:w="337" w:type="pct"/>
            <w:textDirection w:val="btLr"/>
            <w:vAlign w:val="center"/>
          </w:tcPr>
          <w:p w:rsidR="00AD0295" w:rsidRDefault="00AD0295" w:rsidP="00D72D4A">
            <w:pPr>
              <w:pStyle w:val="TableParagraph"/>
              <w:spacing w:before="117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</w:t>
            </w:r>
          </w:p>
        </w:tc>
        <w:tc>
          <w:tcPr>
            <w:tcW w:w="337" w:type="pct"/>
            <w:textDirection w:val="btLr"/>
            <w:vAlign w:val="center"/>
          </w:tcPr>
          <w:p w:rsidR="00AD0295" w:rsidRDefault="00AD0295" w:rsidP="00D72D4A">
            <w:pPr>
              <w:pStyle w:val="TableParagraph"/>
              <w:spacing w:before="119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Збиток</w:t>
            </w:r>
          </w:p>
        </w:tc>
        <w:tc>
          <w:tcPr>
            <w:tcW w:w="314" w:type="pct"/>
            <w:textDirection w:val="btLr"/>
            <w:vAlign w:val="center"/>
          </w:tcPr>
          <w:p w:rsidR="00AD0295" w:rsidRDefault="00AD0295" w:rsidP="00D72D4A">
            <w:pPr>
              <w:pStyle w:val="TableParagraph"/>
              <w:spacing w:before="120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Захід</w:t>
            </w:r>
          </w:p>
        </w:tc>
        <w:tc>
          <w:tcPr>
            <w:tcW w:w="312" w:type="pct"/>
            <w:textDirection w:val="btLr"/>
            <w:vAlign w:val="center"/>
          </w:tcPr>
          <w:p w:rsidR="00AD0295" w:rsidRDefault="00AD0295" w:rsidP="00D72D4A">
            <w:pPr>
              <w:pStyle w:val="TableParagraph"/>
              <w:spacing w:before="118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Вартість</w:t>
            </w:r>
          </w:p>
        </w:tc>
        <w:tc>
          <w:tcPr>
            <w:tcW w:w="314" w:type="pct"/>
            <w:textDirection w:val="btLr"/>
            <w:vAlign w:val="center"/>
          </w:tcPr>
          <w:p w:rsidR="00AD0295" w:rsidRDefault="00AD0295" w:rsidP="00D72D4A">
            <w:pPr>
              <w:pStyle w:val="TableParagraph"/>
              <w:spacing w:before="122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Виконавець</w:t>
            </w:r>
          </w:p>
        </w:tc>
      </w:tr>
      <w:tr w:rsidR="0061741D" w:rsidTr="0061741D">
        <w:trPr>
          <w:trHeight w:val="184"/>
          <w:jc w:val="center"/>
        </w:trPr>
        <w:tc>
          <w:tcPr>
            <w:tcW w:w="279" w:type="pct"/>
            <w:vAlign w:val="center"/>
          </w:tcPr>
          <w:p w:rsidR="00AD0295" w:rsidRDefault="00AD0295" w:rsidP="00D72D4A">
            <w:pPr>
              <w:pStyle w:val="TableParagraph"/>
              <w:ind w:left="1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9" w:type="pct"/>
            <w:vAlign w:val="center"/>
          </w:tcPr>
          <w:p w:rsidR="00AD0295" w:rsidRDefault="00AD0295" w:rsidP="00D72D4A">
            <w:pPr>
              <w:pStyle w:val="TableParagraph"/>
              <w:ind w:left="1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79" w:type="pct"/>
            <w:vAlign w:val="center"/>
          </w:tcPr>
          <w:p w:rsidR="00AD0295" w:rsidRDefault="00AD0295" w:rsidP="00D72D4A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69" w:type="pct"/>
            <w:vAlign w:val="center"/>
          </w:tcPr>
          <w:p w:rsidR="00AD0295" w:rsidRDefault="00AD0295" w:rsidP="00D72D4A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68" w:type="pct"/>
            <w:vAlign w:val="center"/>
          </w:tcPr>
          <w:p w:rsidR="00AD0295" w:rsidRDefault="00AD0295" w:rsidP="00D72D4A">
            <w:pPr>
              <w:pStyle w:val="TableParagraph"/>
              <w:ind w:left="1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349" w:type="pct"/>
            <w:vAlign w:val="center"/>
          </w:tcPr>
          <w:p w:rsidR="00AD0295" w:rsidRDefault="00AD0295" w:rsidP="00D72D4A">
            <w:pPr>
              <w:pStyle w:val="TableParagraph"/>
              <w:ind w:left="1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349" w:type="pct"/>
            <w:vAlign w:val="center"/>
          </w:tcPr>
          <w:p w:rsidR="00AD0295" w:rsidRDefault="00AD0295" w:rsidP="00D72D4A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79" w:type="pct"/>
            <w:vAlign w:val="center"/>
          </w:tcPr>
          <w:p w:rsidR="00AD0295" w:rsidRDefault="00AD0295" w:rsidP="00D72D4A">
            <w:pPr>
              <w:pStyle w:val="TableParagraph"/>
              <w:ind w:lef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79" w:type="pct"/>
            <w:vAlign w:val="center"/>
          </w:tcPr>
          <w:p w:rsidR="00AD0295" w:rsidRDefault="00AD0295" w:rsidP="00D72D4A">
            <w:pPr>
              <w:pStyle w:val="TableParagraph"/>
              <w:ind w:lef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277" w:type="pct"/>
            <w:vAlign w:val="center"/>
          </w:tcPr>
          <w:p w:rsidR="00AD0295" w:rsidRDefault="00AD0295" w:rsidP="00D72D4A">
            <w:pPr>
              <w:pStyle w:val="TableParagraph"/>
              <w:ind w:lef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79" w:type="pct"/>
            <w:vAlign w:val="center"/>
          </w:tcPr>
          <w:p w:rsidR="00AD0295" w:rsidRDefault="00AD0295" w:rsidP="00D72D4A">
            <w:pPr>
              <w:pStyle w:val="TableParagraph"/>
              <w:ind w:lef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337" w:type="pct"/>
            <w:vAlign w:val="center"/>
          </w:tcPr>
          <w:p w:rsidR="00AD0295" w:rsidRDefault="00AD0295" w:rsidP="00D72D4A">
            <w:pPr>
              <w:pStyle w:val="TableParagraph"/>
              <w:ind w:lef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337" w:type="pct"/>
            <w:vAlign w:val="center"/>
          </w:tcPr>
          <w:p w:rsidR="00AD0295" w:rsidRDefault="00AD0295" w:rsidP="00D72D4A">
            <w:pPr>
              <w:pStyle w:val="TableParagraph"/>
              <w:ind w:lef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314" w:type="pct"/>
            <w:vAlign w:val="center"/>
          </w:tcPr>
          <w:p w:rsidR="00AD0295" w:rsidRDefault="00AD0295" w:rsidP="00D72D4A">
            <w:pPr>
              <w:pStyle w:val="TableParagraph"/>
              <w:ind w:lef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312" w:type="pct"/>
            <w:vAlign w:val="center"/>
          </w:tcPr>
          <w:p w:rsidR="00AD0295" w:rsidRDefault="00AD0295" w:rsidP="00D72D4A">
            <w:pPr>
              <w:pStyle w:val="TableParagraph"/>
              <w:ind w:lef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14" w:type="pct"/>
            <w:vAlign w:val="center"/>
          </w:tcPr>
          <w:p w:rsidR="00AD0295" w:rsidRDefault="00AD0295" w:rsidP="00D72D4A">
            <w:pPr>
              <w:pStyle w:val="TableParagraph"/>
              <w:ind w:left="1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</w:tr>
      <w:tr w:rsidR="0061741D" w:rsidTr="0061741D">
        <w:trPr>
          <w:trHeight w:val="230"/>
          <w:jc w:val="center"/>
        </w:trPr>
        <w:tc>
          <w:tcPr>
            <w:tcW w:w="279" w:type="pct"/>
            <w:vAlign w:val="center"/>
          </w:tcPr>
          <w:p w:rsidR="00AD0295" w:rsidRDefault="00AD0295" w:rsidP="00D72D4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79" w:type="pct"/>
            <w:vAlign w:val="center"/>
          </w:tcPr>
          <w:p w:rsidR="00AD0295" w:rsidRDefault="00AD0295" w:rsidP="00D72D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9" w:type="pct"/>
            <w:vAlign w:val="center"/>
          </w:tcPr>
          <w:p w:rsidR="00AD0295" w:rsidRDefault="00AD0295" w:rsidP="00D72D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9" w:type="pct"/>
            <w:vAlign w:val="center"/>
          </w:tcPr>
          <w:p w:rsidR="00AD0295" w:rsidRDefault="00AD0295" w:rsidP="00D72D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" w:type="pct"/>
            <w:vAlign w:val="center"/>
          </w:tcPr>
          <w:p w:rsidR="00AD0295" w:rsidRDefault="00AD0295" w:rsidP="00D72D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9" w:type="pct"/>
            <w:vAlign w:val="center"/>
          </w:tcPr>
          <w:p w:rsidR="00AD0295" w:rsidRDefault="00AD0295" w:rsidP="00D72D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9" w:type="pct"/>
            <w:vAlign w:val="center"/>
          </w:tcPr>
          <w:p w:rsidR="00AD0295" w:rsidRDefault="00AD0295" w:rsidP="00D72D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9" w:type="pct"/>
            <w:vAlign w:val="center"/>
          </w:tcPr>
          <w:p w:rsidR="00AD0295" w:rsidRDefault="00AD0295" w:rsidP="00D72D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9" w:type="pct"/>
            <w:vAlign w:val="center"/>
          </w:tcPr>
          <w:p w:rsidR="00AD0295" w:rsidRDefault="00AD0295" w:rsidP="00D72D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7" w:type="pct"/>
            <w:vAlign w:val="center"/>
          </w:tcPr>
          <w:p w:rsidR="00AD0295" w:rsidRDefault="00AD0295" w:rsidP="00D72D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9" w:type="pct"/>
            <w:vAlign w:val="center"/>
          </w:tcPr>
          <w:p w:rsidR="00AD0295" w:rsidRDefault="00AD0295" w:rsidP="00D72D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7" w:type="pct"/>
            <w:vAlign w:val="center"/>
          </w:tcPr>
          <w:p w:rsidR="00AD0295" w:rsidRDefault="00AD0295" w:rsidP="00D72D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7" w:type="pct"/>
            <w:vAlign w:val="center"/>
          </w:tcPr>
          <w:p w:rsidR="00AD0295" w:rsidRDefault="00AD0295" w:rsidP="00D72D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4" w:type="pct"/>
            <w:vAlign w:val="center"/>
          </w:tcPr>
          <w:p w:rsidR="00AD0295" w:rsidRDefault="00AD0295" w:rsidP="00D72D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" w:type="pct"/>
            <w:vAlign w:val="center"/>
          </w:tcPr>
          <w:p w:rsidR="00AD0295" w:rsidRDefault="00AD0295" w:rsidP="00D72D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4" w:type="pct"/>
            <w:vAlign w:val="center"/>
          </w:tcPr>
          <w:p w:rsidR="00AD0295" w:rsidRDefault="00AD0295" w:rsidP="00D72D4A">
            <w:pPr>
              <w:pStyle w:val="TableParagraph"/>
              <w:ind w:left="0"/>
              <w:rPr>
                <w:sz w:val="16"/>
              </w:rPr>
            </w:pPr>
          </w:p>
        </w:tc>
      </w:tr>
      <w:tr w:rsidR="0061741D" w:rsidTr="0061741D">
        <w:trPr>
          <w:trHeight w:val="230"/>
          <w:jc w:val="center"/>
        </w:trPr>
        <w:tc>
          <w:tcPr>
            <w:tcW w:w="279" w:type="pct"/>
            <w:vAlign w:val="center"/>
          </w:tcPr>
          <w:p w:rsidR="00AD0295" w:rsidRDefault="00AD0295" w:rsidP="00D72D4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79" w:type="pct"/>
            <w:vAlign w:val="center"/>
          </w:tcPr>
          <w:p w:rsidR="00AD0295" w:rsidRDefault="00AD0295" w:rsidP="00D72D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9" w:type="pct"/>
            <w:vAlign w:val="center"/>
          </w:tcPr>
          <w:p w:rsidR="00AD0295" w:rsidRDefault="00AD0295" w:rsidP="00D72D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9" w:type="pct"/>
            <w:vAlign w:val="center"/>
          </w:tcPr>
          <w:p w:rsidR="00AD0295" w:rsidRDefault="00AD0295" w:rsidP="00D72D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" w:type="pct"/>
            <w:vAlign w:val="center"/>
          </w:tcPr>
          <w:p w:rsidR="00AD0295" w:rsidRDefault="00AD0295" w:rsidP="00D72D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9" w:type="pct"/>
            <w:vAlign w:val="center"/>
          </w:tcPr>
          <w:p w:rsidR="00AD0295" w:rsidRDefault="00AD0295" w:rsidP="00D72D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9" w:type="pct"/>
            <w:vAlign w:val="center"/>
          </w:tcPr>
          <w:p w:rsidR="00AD0295" w:rsidRDefault="00AD0295" w:rsidP="00D72D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9" w:type="pct"/>
            <w:vAlign w:val="center"/>
          </w:tcPr>
          <w:p w:rsidR="00AD0295" w:rsidRDefault="00AD0295" w:rsidP="00D72D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9" w:type="pct"/>
            <w:vAlign w:val="center"/>
          </w:tcPr>
          <w:p w:rsidR="00AD0295" w:rsidRDefault="00AD0295" w:rsidP="00D72D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7" w:type="pct"/>
            <w:vAlign w:val="center"/>
          </w:tcPr>
          <w:p w:rsidR="00AD0295" w:rsidRDefault="00AD0295" w:rsidP="00D72D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9" w:type="pct"/>
            <w:vAlign w:val="center"/>
          </w:tcPr>
          <w:p w:rsidR="00AD0295" w:rsidRDefault="00AD0295" w:rsidP="00D72D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7" w:type="pct"/>
            <w:vAlign w:val="center"/>
          </w:tcPr>
          <w:p w:rsidR="00AD0295" w:rsidRDefault="00AD0295" w:rsidP="00D72D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7" w:type="pct"/>
            <w:vAlign w:val="center"/>
          </w:tcPr>
          <w:p w:rsidR="00AD0295" w:rsidRDefault="00AD0295" w:rsidP="00D72D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4" w:type="pct"/>
            <w:vAlign w:val="center"/>
          </w:tcPr>
          <w:p w:rsidR="00AD0295" w:rsidRDefault="00AD0295" w:rsidP="00D72D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" w:type="pct"/>
            <w:vAlign w:val="center"/>
          </w:tcPr>
          <w:p w:rsidR="00AD0295" w:rsidRDefault="00AD0295" w:rsidP="00D72D4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4" w:type="pct"/>
            <w:vAlign w:val="center"/>
          </w:tcPr>
          <w:p w:rsidR="00AD0295" w:rsidRDefault="00AD0295" w:rsidP="00D72D4A">
            <w:pPr>
              <w:pStyle w:val="TableParagraph"/>
              <w:ind w:left="0"/>
              <w:rPr>
                <w:sz w:val="16"/>
              </w:rPr>
            </w:pPr>
          </w:p>
        </w:tc>
      </w:tr>
      <w:tr w:rsidR="0061741D" w:rsidTr="0061741D">
        <w:trPr>
          <w:trHeight w:val="460"/>
          <w:jc w:val="center"/>
        </w:trPr>
        <w:tc>
          <w:tcPr>
            <w:tcW w:w="559" w:type="pct"/>
            <w:gridSpan w:val="2"/>
            <w:vAlign w:val="center"/>
          </w:tcPr>
          <w:p w:rsidR="00AD0295" w:rsidRDefault="00AD0295" w:rsidP="00D72D4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Разом</w:t>
            </w:r>
          </w:p>
        </w:tc>
        <w:tc>
          <w:tcPr>
            <w:tcW w:w="279" w:type="pct"/>
            <w:vAlign w:val="center"/>
          </w:tcPr>
          <w:p w:rsidR="00AD0295" w:rsidRDefault="00AD0295" w:rsidP="00D72D4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9" w:type="pct"/>
            <w:vAlign w:val="center"/>
          </w:tcPr>
          <w:p w:rsidR="00AD0295" w:rsidRDefault="00AD0295" w:rsidP="00D72D4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" w:type="pct"/>
            <w:vAlign w:val="center"/>
          </w:tcPr>
          <w:p w:rsidR="00AD0295" w:rsidRDefault="00AD0295" w:rsidP="00D72D4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AD0295" w:rsidRDefault="00AD0295" w:rsidP="00D72D4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AD0295" w:rsidRDefault="00AD0295" w:rsidP="00D72D4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" w:type="pct"/>
            <w:vAlign w:val="center"/>
          </w:tcPr>
          <w:p w:rsidR="00AD0295" w:rsidRDefault="00AD0295" w:rsidP="00D72D4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" w:type="pct"/>
            <w:vAlign w:val="center"/>
          </w:tcPr>
          <w:p w:rsidR="00AD0295" w:rsidRDefault="00AD0295" w:rsidP="00D72D4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" w:type="pct"/>
            <w:vAlign w:val="center"/>
          </w:tcPr>
          <w:p w:rsidR="00AD0295" w:rsidRDefault="00AD0295" w:rsidP="00D72D4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" w:type="pct"/>
            <w:vAlign w:val="center"/>
          </w:tcPr>
          <w:p w:rsidR="00AD0295" w:rsidRDefault="00AD0295" w:rsidP="00D72D4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7" w:type="pct"/>
            <w:vAlign w:val="center"/>
          </w:tcPr>
          <w:p w:rsidR="00AD0295" w:rsidRDefault="00AD0295" w:rsidP="00D72D4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7" w:type="pct"/>
            <w:vAlign w:val="center"/>
          </w:tcPr>
          <w:p w:rsidR="00AD0295" w:rsidRDefault="00AD0295" w:rsidP="00D72D4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4" w:type="pct"/>
            <w:vAlign w:val="center"/>
          </w:tcPr>
          <w:p w:rsidR="00AD0295" w:rsidRDefault="00AD0295" w:rsidP="00D72D4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" w:type="pct"/>
            <w:vAlign w:val="center"/>
          </w:tcPr>
          <w:p w:rsidR="00AD0295" w:rsidRDefault="00AD0295" w:rsidP="00D72D4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4" w:type="pct"/>
            <w:vAlign w:val="center"/>
          </w:tcPr>
          <w:p w:rsidR="00AD0295" w:rsidRDefault="00AD0295" w:rsidP="00D72D4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D0295" w:rsidRDefault="00AD0295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D0295" w:rsidRPr="00424404" w:rsidRDefault="00AD0295" w:rsidP="00D72D4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sectPr w:rsidR="00AD0295" w:rsidRPr="0042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19"/>
    <w:rsid w:val="0013568A"/>
    <w:rsid w:val="002B1263"/>
    <w:rsid w:val="00424404"/>
    <w:rsid w:val="0061741D"/>
    <w:rsid w:val="006530ED"/>
    <w:rsid w:val="006B11EE"/>
    <w:rsid w:val="006D1C19"/>
    <w:rsid w:val="009028E8"/>
    <w:rsid w:val="009D6E42"/>
    <w:rsid w:val="00A04A69"/>
    <w:rsid w:val="00AD0295"/>
    <w:rsid w:val="00D72D4A"/>
    <w:rsid w:val="00E70650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80EE"/>
  <w15:chartTrackingRefBased/>
  <w15:docId w15:val="{EA1049D1-56F1-4AF6-BE92-27D3C26F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02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D0295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1152</Words>
  <Characters>6567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</dc:creator>
  <cp:keywords/>
  <dc:description/>
  <cp:lastModifiedBy>Владислава</cp:lastModifiedBy>
  <cp:revision>21</cp:revision>
  <dcterms:created xsi:type="dcterms:W3CDTF">2022-11-15T12:01:00Z</dcterms:created>
  <dcterms:modified xsi:type="dcterms:W3CDTF">2022-11-21T13:49:00Z</dcterms:modified>
</cp:coreProperties>
</file>