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88" w:rsidRPr="0017376E" w:rsidRDefault="00AA6ED0" w:rsidP="000A4F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ТЕМА 5.</w:t>
      </w:r>
    </w:p>
    <w:p w:rsidR="00AA6ED0" w:rsidRPr="0017376E" w:rsidRDefault="000A4F88" w:rsidP="000A4F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ТЕХНІКА МОНІТОРИНГУ ТА КРИТЕРІЇ ОЦІНКИ РЕЗУЛЬТАТІВ ПІДРОЗДІЛУ АНАЛІТИЧНОГО ЗАБЕЗПЕЧЕННЯ ФІНАНСОВО-ЕКОНОМІЧНОЇ БЕЗПЕКИ ПІДПРИЄМСТВА</w:t>
      </w:r>
    </w:p>
    <w:p w:rsidR="000A4F88" w:rsidRPr="0017376E" w:rsidRDefault="000A4F88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A4F88" w:rsidRPr="0017376E" w:rsidRDefault="000A4F88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A4F88"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Питання: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A4F88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5.1</w:t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та оцінка стану і рівня фінансово-економічної безпеки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A4F88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5.</w:t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Проведення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діагностики</w:t>
      </w:r>
      <w:r w:rsidR="003E734F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фінансово-господарського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стану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A4F88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5.3</w:t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критеріїв та індикаторів оцінки ефективності діяльності суб’єктів системи економічної безпеки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A4F88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5.4</w:t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Організація і техніка проведення моніторингу оцінювання стану безпеки підприємства.</w:t>
      </w:r>
    </w:p>
    <w:p w:rsidR="000A4F88" w:rsidRPr="0017376E" w:rsidRDefault="000A4F88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A4F88" w:rsidRPr="0017376E" w:rsidRDefault="000A4F88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A4F88" w:rsidRPr="0017376E" w:rsidRDefault="000A4F88" w:rsidP="000A4F8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5.1 Визначення та оцінка стану і рівня фінансово-економічної безпеки підприємства.</w:t>
      </w:r>
    </w:p>
    <w:p w:rsidR="000A4F88" w:rsidRPr="0017376E" w:rsidRDefault="000A4F88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A4F88" w:rsidRPr="0017376E" w:rsidRDefault="000A4F88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Залежно від масштабу виробництва для окремого підприємства визначається рівень та чинники фінансово-економічної безпеки.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У той же час у межах різних видів підприємств можуть існувати однакові чинники, які визначені станом економіки держави загалом (стан споживчого попиту, стан фінансово-кредитного сектора тощо). Проте вплив цих спільних чинників на кожен вид підприємства відрізнятиметься. Аналогічна ситуація характерна для різних підприємств залежно від їхньої галузевої приналежності.</w:t>
      </w:r>
    </w:p>
    <w:p w:rsidR="00A440A6" w:rsidRPr="0017376E" w:rsidRDefault="00A440A6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A440A6" w:rsidP="00A440A6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Таблиця 5.1</w:t>
      </w:r>
    </w:p>
    <w:p w:rsidR="00AA6ED0" w:rsidRPr="0017376E" w:rsidRDefault="00AA6ED0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Характеристика фінансово-економічної безпеки підприємств за масштабами їх діяльності</w:t>
      </w:r>
    </w:p>
    <w:p w:rsidR="0017376E" w:rsidRPr="0017376E" w:rsidRDefault="0017376E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tbl>
      <w:tblPr>
        <w:tblStyle w:val="TableNormal"/>
        <w:tblW w:w="43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5"/>
        <w:gridCol w:w="2843"/>
        <w:gridCol w:w="3518"/>
      </w:tblGrid>
      <w:tr w:rsidR="0077166D" w:rsidRPr="0017376E" w:rsidTr="00306AC5">
        <w:trPr>
          <w:trHeight w:val="254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b/>
                <w:noProof/>
                <w:lang w:val="uk-UA"/>
              </w:rPr>
              <w:t>Ознака</w:t>
            </w:r>
          </w:p>
        </w:tc>
        <w:tc>
          <w:tcPr>
            <w:tcW w:w="1730" w:type="pct"/>
            <w:tcBorders>
              <w:top w:val="single" w:sz="4" w:space="0" w:color="auto"/>
            </w:tcBorders>
            <w:vAlign w:val="center"/>
          </w:tcPr>
          <w:p w:rsidR="0017376E" w:rsidRPr="0017376E" w:rsidRDefault="0017376E" w:rsidP="0017376E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b/>
                <w:noProof/>
                <w:lang w:val="uk-UA"/>
              </w:rPr>
              <w:t>Вид підприємства</w:t>
            </w:r>
          </w:p>
        </w:tc>
        <w:tc>
          <w:tcPr>
            <w:tcW w:w="21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76E" w:rsidRPr="0017376E" w:rsidRDefault="0017376E" w:rsidP="0017376E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b/>
                <w:noProof/>
                <w:lang w:val="uk-UA"/>
              </w:rPr>
              <w:t>Чинники безпеки</w:t>
            </w:r>
          </w:p>
        </w:tc>
      </w:tr>
      <w:tr w:rsidR="0017376E" w:rsidRPr="0017376E" w:rsidTr="00306AC5">
        <w:trPr>
          <w:trHeight w:val="250"/>
          <w:jc w:val="center"/>
        </w:trPr>
        <w:tc>
          <w:tcPr>
            <w:tcW w:w="1129" w:type="pct"/>
            <w:vMerge w:val="restart"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За кількістю</w:t>
            </w:r>
          </w:p>
          <w:p w:rsidR="0017376E" w:rsidRPr="0017376E" w:rsidRDefault="0017376E" w:rsidP="0017376E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працівників</w:t>
            </w:r>
          </w:p>
          <w:p w:rsidR="0017376E" w:rsidRPr="0017376E" w:rsidRDefault="0017376E" w:rsidP="0017376E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та обсягами</w:t>
            </w:r>
          </w:p>
          <w:p w:rsidR="0017376E" w:rsidRPr="0017376E" w:rsidRDefault="0017376E" w:rsidP="0017376E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діяльності</w:t>
            </w:r>
          </w:p>
        </w:tc>
        <w:tc>
          <w:tcPr>
            <w:tcW w:w="1730" w:type="pct"/>
            <w:vMerge w:val="restart"/>
            <w:vAlign w:val="center"/>
          </w:tcPr>
          <w:p w:rsidR="0017376E" w:rsidRPr="0017376E" w:rsidRDefault="0017376E" w:rsidP="00306AC5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Малі</w:t>
            </w:r>
          </w:p>
        </w:tc>
        <w:tc>
          <w:tcPr>
            <w:tcW w:w="2141" w:type="pct"/>
            <w:tcBorders>
              <w:bottom w:val="nil"/>
              <w:righ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Стан споживчого попиту.</w:t>
            </w:r>
          </w:p>
        </w:tc>
      </w:tr>
      <w:tr w:rsidR="0017376E" w:rsidRPr="0017376E" w:rsidTr="00306AC5">
        <w:trPr>
          <w:trHeight w:val="253"/>
          <w:jc w:val="center"/>
        </w:trPr>
        <w:tc>
          <w:tcPr>
            <w:tcW w:w="1129" w:type="pct"/>
            <w:vMerge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/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1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Доступ до кредитів.</w:t>
            </w:r>
          </w:p>
        </w:tc>
      </w:tr>
      <w:tr w:rsidR="0017376E" w:rsidRPr="0017376E" w:rsidTr="00306AC5">
        <w:trPr>
          <w:trHeight w:val="254"/>
          <w:jc w:val="center"/>
        </w:trPr>
        <w:tc>
          <w:tcPr>
            <w:tcW w:w="1129" w:type="pct"/>
            <w:vMerge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/>
            <w:tcBorders>
              <w:bottom w:val="nil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141" w:type="pct"/>
            <w:tcBorders>
              <w:top w:val="nil"/>
              <w:righ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Стан дозвільної системи.</w:t>
            </w:r>
          </w:p>
        </w:tc>
      </w:tr>
      <w:tr w:rsidR="0017376E" w:rsidRPr="0017376E" w:rsidTr="00306AC5">
        <w:trPr>
          <w:trHeight w:val="70"/>
          <w:jc w:val="center"/>
        </w:trPr>
        <w:tc>
          <w:tcPr>
            <w:tcW w:w="1129" w:type="pct"/>
            <w:vMerge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 w:val="restart"/>
            <w:vAlign w:val="center"/>
          </w:tcPr>
          <w:p w:rsidR="0017376E" w:rsidRPr="0017376E" w:rsidRDefault="0017376E" w:rsidP="00306AC5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Середні</w:t>
            </w:r>
          </w:p>
        </w:tc>
        <w:tc>
          <w:tcPr>
            <w:tcW w:w="2141" w:type="pct"/>
            <w:tcBorders>
              <w:bottom w:val="nil"/>
              <w:right w:val="single" w:sz="4" w:space="0" w:color="auto"/>
            </w:tcBorders>
            <w:vAlign w:val="center"/>
          </w:tcPr>
          <w:p w:rsidR="0017376E" w:rsidRPr="0017376E" w:rsidRDefault="0017376E" w:rsidP="00306AC5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Доступ до кредитів.</w:t>
            </w:r>
          </w:p>
        </w:tc>
      </w:tr>
      <w:tr w:rsidR="0017376E" w:rsidRPr="0017376E" w:rsidTr="00306AC5">
        <w:trPr>
          <w:trHeight w:val="253"/>
          <w:jc w:val="center"/>
        </w:trPr>
        <w:tc>
          <w:tcPr>
            <w:tcW w:w="1129" w:type="pct"/>
            <w:vMerge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/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1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376E" w:rsidRPr="0017376E" w:rsidRDefault="0017376E" w:rsidP="00306AC5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Стан дозвільної </w:t>
            </w:r>
            <w:r w:rsidRPr="0017376E">
              <w:rPr>
                <w:rFonts w:ascii="Times New Roman" w:hAnsi="Times New Roman" w:cs="Times New Roman"/>
                <w:noProof/>
                <w:lang w:val="uk-UA"/>
              </w:rPr>
              <w:t>системи.</w:t>
            </w:r>
          </w:p>
        </w:tc>
      </w:tr>
      <w:tr w:rsidR="0017376E" w:rsidRPr="0017376E" w:rsidTr="00306AC5">
        <w:trPr>
          <w:trHeight w:val="253"/>
          <w:jc w:val="center"/>
        </w:trPr>
        <w:tc>
          <w:tcPr>
            <w:tcW w:w="1129" w:type="pct"/>
            <w:vMerge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/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1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376E" w:rsidRPr="0017376E" w:rsidRDefault="0017376E" w:rsidP="00306AC5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Незабезпеченість </w:t>
            </w:r>
            <w:r w:rsidRPr="0017376E">
              <w:rPr>
                <w:rFonts w:ascii="Times New Roman" w:hAnsi="Times New Roman" w:cs="Times New Roman"/>
                <w:noProof/>
                <w:lang w:val="uk-UA"/>
              </w:rPr>
              <w:t>прав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7376E">
              <w:rPr>
                <w:rFonts w:ascii="Times New Roman" w:hAnsi="Times New Roman" w:cs="Times New Roman"/>
                <w:noProof/>
                <w:lang w:val="uk-UA"/>
              </w:rPr>
              <w:t>власності.</w:t>
            </w:r>
          </w:p>
        </w:tc>
      </w:tr>
      <w:tr w:rsidR="0017376E" w:rsidRPr="0017376E" w:rsidTr="00306AC5">
        <w:trPr>
          <w:trHeight w:val="253"/>
          <w:jc w:val="center"/>
        </w:trPr>
        <w:tc>
          <w:tcPr>
            <w:tcW w:w="1129" w:type="pct"/>
            <w:vMerge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/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1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376E" w:rsidRPr="0017376E" w:rsidRDefault="0017376E" w:rsidP="00306AC5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="00306AC5">
              <w:rPr>
                <w:rFonts w:ascii="Times New Roman" w:hAnsi="Times New Roman" w:cs="Times New Roman"/>
                <w:noProof/>
                <w:lang w:val="uk-UA"/>
              </w:rPr>
              <w:t>о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птимальної </w:t>
            </w:r>
            <w:r w:rsidRPr="0017376E">
              <w:rPr>
                <w:rFonts w:ascii="Times New Roman" w:hAnsi="Times New Roman" w:cs="Times New Roman"/>
                <w:noProof/>
                <w:lang w:val="uk-UA"/>
              </w:rPr>
              <w:t>структури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7376E">
              <w:rPr>
                <w:rFonts w:ascii="Times New Roman" w:hAnsi="Times New Roman" w:cs="Times New Roman"/>
                <w:noProof/>
                <w:lang w:val="uk-UA"/>
              </w:rPr>
              <w:t>капіталу</w:t>
            </w:r>
          </w:p>
        </w:tc>
      </w:tr>
      <w:tr w:rsidR="0017376E" w:rsidRPr="0017376E" w:rsidTr="00306AC5">
        <w:trPr>
          <w:trHeight w:val="252"/>
          <w:jc w:val="center"/>
        </w:trPr>
        <w:tc>
          <w:tcPr>
            <w:tcW w:w="1129" w:type="pct"/>
            <w:vMerge/>
            <w:tcBorders>
              <w:left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/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1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376E" w:rsidRPr="0017376E" w:rsidRDefault="0017376E" w:rsidP="00306AC5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Наявність проявів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7376E">
              <w:rPr>
                <w:rFonts w:ascii="Times New Roman" w:hAnsi="Times New Roman" w:cs="Times New Roman"/>
                <w:noProof/>
                <w:lang w:val="uk-UA"/>
              </w:rPr>
              <w:t>монополізму.</w:t>
            </w:r>
          </w:p>
        </w:tc>
      </w:tr>
      <w:tr w:rsidR="0017376E" w:rsidRPr="0017376E" w:rsidTr="00306AC5">
        <w:trPr>
          <w:trHeight w:val="253"/>
          <w:jc w:val="center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30" w:type="pct"/>
            <w:vMerge/>
            <w:tcBorders>
              <w:bottom w:val="single" w:sz="4" w:space="0" w:color="auto"/>
            </w:tcBorders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141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76E" w:rsidRPr="0017376E" w:rsidRDefault="0017376E" w:rsidP="00306AC5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Рейдерські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7376E">
              <w:rPr>
                <w:rFonts w:ascii="Times New Roman" w:hAnsi="Times New Roman" w:cs="Times New Roman"/>
                <w:noProof/>
                <w:lang w:val="uk-UA"/>
              </w:rPr>
              <w:t>атаки.</w:t>
            </w:r>
          </w:p>
        </w:tc>
      </w:tr>
    </w:tbl>
    <w:p w:rsidR="0017376E" w:rsidRPr="0017376E" w:rsidRDefault="0017376E" w:rsidP="0017376E">
      <w:pPr>
        <w:spacing w:line="235" w:lineRule="exact"/>
        <w:rPr>
          <w:noProof/>
          <w:lang w:val="uk-UA"/>
        </w:rPr>
      </w:pPr>
    </w:p>
    <w:p w:rsidR="00306AC5" w:rsidRDefault="00306AC5" w:rsidP="0017376E">
      <w:pPr>
        <w:spacing w:after="0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</w:p>
    <w:p w:rsidR="0017376E" w:rsidRPr="0017376E" w:rsidRDefault="0017376E" w:rsidP="0017376E">
      <w:pPr>
        <w:spacing w:after="0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lastRenderedPageBreak/>
        <w:t>Продовження таблиці 5.1</w:t>
      </w:r>
    </w:p>
    <w:tbl>
      <w:tblPr>
        <w:tblStyle w:val="TableNormal"/>
        <w:tblW w:w="44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1"/>
        <w:gridCol w:w="3141"/>
        <w:gridCol w:w="3096"/>
      </w:tblGrid>
      <w:tr w:rsidR="0017376E" w:rsidRPr="0017376E" w:rsidTr="00306AC5">
        <w:trPr>
          <w:trHeight w:val="1908"/>
          <w:jc w:val="center"/>
        </w:trPr>
        <w:tc>
          <w:tcPr>
            <w:tcW w:w="1269" w:type="pct"/>
            <w:vAlign w:val="center"/>
          </w:tcPr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879" w:type="pct"/>
            <w:vAlign w:val="center"/>
          </w:tcPr>
          <w:p w:rsidR="0017376E" w:rsidRPr="0017376E" w:rsidRDefault="0017376E" w:rsidP="00306AC5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Великі</w:t>
            </w:r>
          </w:p>
        </w:tc>
        <w:tc>
          <w:tcPr>
            <w:tcW w:w="1852" w:type="pct"/>
            <w:vAlign w:val="center"/>
          </w:tcPr>
          <w:p w:rsidR="00306AC5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 xml:space="preserve">Вплив фондового ринку. </w:t>
            </w:r>
          </w:p>
          <w:p w:rsidR="0017376E" w:rsidRPr="0017376E" w:rsidRDefault="00306AC5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Міжнародна </w:t>
            </w:r>
            <w:r w:rsidR="0017376E" w:rsidRPr="0017376E">
              <w:rPr>
                <w:rFonts w:ascii="Times New Roman" w:hAnsi="Times New Roman" w:cs="Times New Roman"/>
                <w:noProof/>
                <w:lang w:val="uk-UA"/>
              </w:rPr>
              <w:t xml:space="preserve">співпраця та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інтеграція у </w:t>
            </w:r>
            <w:r w:rsidR="0017376E" w:rsidRPr="0017376E">
              <w:rPr>
                <w:rFonts w:ascii="Times New Roman" w:hAnsi="Times New Roman" w:cs="Times New Roman"/>
                <w:noProof/>
                <w:lang w:val="uk-UA"/>
              </w:rPr>
              <w:t>світовий економічний простір.</w:t>
            </w:r>
          </w:p>
          <w:p w:rsidR="0017376E" w:rsidRPr="0017376E" w:rsidRDefault="00306AC5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Розвиток </w:t>
            </w:r>
            <w:r w:rsidR="0017376E" w:rsidRPr="0017376E">
              <w:rPr>
                <w:rFonts w:ascii="Times New Roman" w:hAnsi="Times New Roman" w:cs="Times New Roman"/>
                <w:noProof/>
                <w:lang w:val="uk-UA"/>
              </w:rPr>
              <w:t>технологій, запровадження інновацій.</w:t>
            </w:r>
          </w:p>
          <w:p w:rsidR="00306AC5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 xml:space="preserve">Рейдерські атаки. </w:t>
            </w:r>
          </w:p>
          <w:p w:rsidR="0017376E" w:rsidRPr="0017376E" w:rsidRDefault="0017376E" w:rsidP="0017376E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7376E">
              <w:rPr>
                <w:rFonts w:ascii="Times New Roman" w:hAnsi="Times New Roman" w:cs="Times New Roman"/>
                <w:noProof/>
                <w:lang w:val="uk-UA"/>
              </w:rPr>
              <w:t>Дивідендна політика.</w:t>
            </w:r>
          </w:p>
        </w:tc>
      </w:tr>
    </w:tbl>
    <w:p w:rsidR="0017376E" w:rsidRPr="0017376E" w:rsidRDefault="0017376E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A440A6" w:rsidP="00A440A6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Таблиця 5.2</w:t>
      </w:r>
    </w:p>
    <w:p w:rsidR="00AA6ED0" w:rsidRDefault="00AA6ED0" w:rsidP="00215C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Характеристика фінансово-економічної безпеки підприємств за галузевою приналежністю</w:t>
      </w:r>
    </w:p>
    <w:p w:rsidR="00215CC1" w:rsidRPr="00215CC1" w:rsidRDefault="00215CC1" w:rsidP="00215C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01"/>
        <w:gridCol w:w="3459"/>
      </w:tblGrid>
      <w:tr w:rsidR="0017376E" w:rsidRPr="0017376E" w:rsidTr="00215CC1">
        <w:trPr>
          <w:trHeight w:val="230"/>
          <w:jc w:val="center"/>
        </w:trPr>
        <w:tc>
          <w:tcPr>
            <w:tcW w:w="1548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b/>
                <w:noProof/>
                <w:lang w:val="uk-UA"/>
              </w:rPr>
              <w:t>Ознака</w:t>
            </w:r>
          </w:p>
        </w:tc>
        <w:tc>
          <w:tcPr>
            <w:tcW w:w="1901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b/>
                <w:noProof/>
                <w:lang w:val="uk-UA"/>
              </w:rPr>
              <w:t>Вид підприємства</w:t>
            </w:r>
          </w:p>
        </w:tc>
        <w:tc>
          <w:tcPr>
            <w:tcW w:w="3459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b/>
                <w:noProof/>
                <w:lang w:val="uk-UA"/>
              </w:rPr>
              <w:t>Чинники безпеки</w:t>
            </w:r>
          </w:p>
        </w:tc>
      </w:tr>
      <w:tr w:rsidR="0017376E" w:rsidRPr="0017376E" w:rsidTr="00215CC1">
        <w:trPr>
          <w:trHeight w:val="690"/>
          <w:jc w:val="center"/>
        </w:trPr>
        <w:tc>
          <w:tcPr>
            <w:tcW w:w="1548" w:type="dxa"/>
            <w:vMerge w:val="restart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За сферою діяльності</w:t>
            </w:r>
          </w:p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та галузевою приналежністю</w:t>
            </w:r>
          </w:p>
        </w:tc>
        <w:tc>
          <w:tcPr>
            <w:tcW w:w="1901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Промислові</w:t>
            </w:r>
          </w:p>
        </w:tc>
        <w:tc>
          <w:tcPr>
            <w:tcW w:w="3459" w:type="dxa"/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Розвиток технологій.</w:t>
            </w:r>
          </w:p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Наявність кваліфікованої робочої</w:t>
            </w:r>
          </w:p>
          <w:p w:rsid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 xml:space="preserve">сили. </w:t>
            </w:r>
          </w:p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Сертифікація та стандартизація</w:t>
            </w:r>
          </w:p>
        </w:tc>
      </w:tr>
      <w:tr w:rsidR="0017376E" w:rsidRPr="0017376E" w:rsidTr="00215CC1">
        <w:trPr>
          <w:trHeight w:val="919"/>
          <w:jc w:val="center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01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Сільсько- господарські</w:t>
            </w:r>
          </w:p>
        </w:tc>
        <w:tc>
          <w:tcPr>
            <w:tcW w:w="3459" w:type="dxa"/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Погодно-кліматичні умови.</w:t>
            </w:r>
          </w:p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 xml:space="preserve">Державне регулювання галузі </w:t>
            </w:r>
            <w:r w:rsidR="00215CC1">
              <w:rPr>
                <w:rFonts w:ascii="Times New Roman" w:hAnsi="Times New Roman" w:cs="Times New Roman"/>
                <w:noProof/>
                <w:lang w:val="uk-UA"/>
              </w:rPr>
              <w:t>(вста</w:t>
            </w:r>
            <w:r w:rsidRPr="00215CC1">
              <w:rPr>
                <w:rFonts w:ascii="Times New Roman" w:hAnsi="Times New Roman" w:cs="Times New Roman"/>
                <w:noProof/>
                <w:lang w:val="uk-UA"/>
              </w:rPr>
              <w:t>новлення мінімальних закупівельних цін, квотування експорту та імпорту).</w:t>
            </w:r>
          </w:p>
        </w:tc>
      </w:tr>
      <w:tr w:rsidR="0017376E" w:rsidRPr="0017376E" w:rsidTr="00215CC1">
        <w:trPr>
          <w:trHeight w:val="690"/>
          <w:jc w:val="center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01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Будівельні, транспортні</w:t>
            </w:r>
          </w:p>
        </w:tc>
        <w:tc>
          <w:tcPr>
            <w:tcW w:w="3459" w:type="dxa"/>
            <w:vAlign w:val="center"/>
          </w:tcPr>
          <w:p w:rsid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 xml:space="preserve">Стан інфраструктури. </w:t>
            </w:r>
          </w:p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Нормативно-правова база.</w:t>
            </w:r>
          </w:p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Інвестиційний клімат.</w:t>
            </w:r>
          </w:p>
        </w:tc>
      </w:tr>
      <w:tr w:rsidR="0017376E" w:rsidRPr="0017376E" w:rsidTr="00215CC1">
        <w:trPr>
          <w:trHeight w:val="690"/>
          <w:jc w:val="center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01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Торговельні</w:t>
            </w:r>
          </w:p>
        </w:tc>
        <w:tc>
          <w:tcPr>
            <w:tcW w:w="3459" w:type="dxa"/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Стан купівельної спроможності</w:t>
            </w:r>
          </w:p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населення. Конкурентоспроможність з огляду на місце розташування.</w:t>
            </w:r>
          </w:p>
        </w:tc>
      </w:tr>
      <w:tr w:rsidR="0017376E" w:rsidRPr="0017376E" w:rsidTr="00215CC1">
        <w:trPr>
          <w:trHeight w:val="688"/>
          <w:jc w:val="center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01" w:type="dxa"/>
            <w:vAlign w:val="center"/>
          </w:tcPr>
          <w:p w:rsidR="0017376E" w:rsidRPr="00215CC1" w:rsidRDefault="0017376E" w:rsidP="00215CC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У сфері послуг</w:t>
            </w:r>
          </w:p>
        </w:tc>
        <w:tc>
          <w:tcPr>
            <w:tcW w:w="3459" w:type="dxa"/>
            <w:vAlign w:val="center"/>
          </w:tcPr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Стан купівельної спроможності</w:t>
            </w:r>
          </w:p>
          <w:p w:rsid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 xml:space="preserve">населення. </w:t>
            </w:r>
          </w:p>
          <w:p w:rsidR="0017376E" w:rsidRPr="00215CC1" w:rsidRDefault="0017376E" w:rsidP="00215CC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215CC1">
              <w:rPr>
                <w:rFonts w:ascii="Times New Roman" w:hAnsi="Times New Roman" w:cs="Times New Roman"/>
                <w:noProof/>
                <w:lang w:val="uk-UA"/>
              </w:rPr>
              <w:t>Розвиток конкурентного середовища.</w:t>
            </w:r>
          </w:p>
        </w:tc>
      </w:tr>
    </w:tbl>
    <w:p w:rsidR="0017376E" w:rsidRPr="0017376E" w:rsidRDefault="0017376E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Процесс управління фінансовою безпекою підприємства можна поділити на такі етапи: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Розроблення системи пріоритетних фінансових інтересів. Система фінансових інтересів повинна включати стратегію розвитку підприємства, його місію.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Аналіз загроз фінансовій безпеці підприємства. Цей етап включає такі операції, як виокремлення множини загроз фінансовій безпеці підприємства, оцінювання ймовірностей їх настання, розрахунок розміру можливих збитків від реалізації сподіваних або</w:t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реальних загроз, а також дослідження часткових чинників, які спричинили настання збитків.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Оцінювання стану та рівня фінансово-економічної безпеки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Процес оцінювання стану і рівня фінансово-економічної безпеки підприємства включає такі кроки: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вибір критерію ефективності фінансово-економічної безпеки, який характеризує ступінь наближення підприємства до безпечного стану;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побудова множини показників (індикаторів) фінансової безпеки;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порогових значень показників (індикаторів);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моніторинг вибраних показників і зіставлення їх фактичних значень із пороговими;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інтегрального рівня фінансової безпеки підприємства за обраними показниками.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Розроблення комплексу заходів із забезпечення фінансової безпеки та рекомендацій щодо впровадження їх на практиці.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Бюджетне планування реалізації розробленого комплексу заходів із забезпечення фінансової безпеки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 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Реалізація запланованих заходів у </w:t>
      </w:r>
      <w:r w:rsidR="00A440A6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процесі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здійснення господарської діяльності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ходом реалізації запланованих заходів щодо забезпечення достатнього рівня фінансової безпеки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8.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Оперативне управління системою фінансової безпеки підприємства за допомогою механізму зворотного зв’язку, яке проявляється у коригуванні наявної або розробці нової системи заходів із забезпечення достатнього рівня фінансової безпеки.</w:t>
      </w: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5.2. Проведення діагностики фінансово-господарського стану підприємства.</w:t>
      </w: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440A6" w:rsidRPr="0017376E" w:rsidRDefault="00A440A6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00A9E" w:rsidRPr="0017376E" w:rsidRDefault="00060BCD" w:rsidP="00A440A6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440A6" w:rsidRPr="001737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Таблиця 5.3</w:t>
      </w:r>
    </w:p>
    <w:p w:rsidR="00AA6ED0" w:rsidRDefault="00AA6ED0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Характеристика станів фінансово-економічної безпеки підприємства</w:t>
      </w:r>
    </w:p>
    <w:p w:rsidR="00096B9F" w:rsidRDefault="00096B9F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2553"/>
        <w:gridCol w:w="2409"/>
        <w:gridCol w:w="2688"/>
      </w:tblGrid>
      <w:tr w:rsidR="00096B9F" w:rsidTr="0077166D">
        <w:trPr>
          <w:trHeight w:val="918"/>
          <w:jc w:val="center"/>
        </w:trPr>
        <w:tc>
          <w:tcPr>
            <w:tcW w:w="907" w:type="pct"/>
            <w:vAlign w:val="center"/>
          </w:tcPr>
          <w:p w:rsidR="00096B9F" w:rsidRPr="0077166D" w:rsidRDefault="00096B9F" w:rsidP="00096B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66D">
              <w:rPr>
                <w:rFonts w:ascii="Times New Roman" w:hAnsi="Times New Roman" w:cs="Times New Roman"/>
                <w:b/>
                <w:lang w:val="ru-RU"/>
              </w:rPr>
              <w:t>Послідовність оцінки і стани безпеки</w:t>
            </w:r>
          </w:p>
        </w:tc>
        <w:tc>
          <w:tcPr>
            <w:tcW w:w="1366" w:type="pct"/>
            <w:vAlign w:val="center"/>
          </w:tcPr>
          <w:p w:rsidR="00096B9F" w:rsidRPr="009A476F" w:rsidRDefault="00096B9F" w:rsidP="00096B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476F">
              <w:rPr>
                <w:rFonts w:ascii="Times New Roman" w:hAnsi="Times New Roman" w:cs="Times New Roman"/>
                <w:b/>
                <w:lang w:val="ru-RU"/>
              </w:rPr>
              <w:t>Характеристи ки станів</w:t>
            </w:r>
          </w:p>
          <w:p w:rsidR="00096B9F" w:rsidRPr="009A476F" w:rsidRDefault="00096B9F" w:rsidP="00096B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476F">
              <w:rPr>
                <w:rFonts w:ascii="Times New Roman" w:hAnsi="Times New Roman" w:cs="Times New Roman"/>
                <w:b/>
                <w:lang w:val="ru-RU"/>
              </w:rPr>
              <w:t>безпеки підприємства</w:t>
            </w:r>
          </w:p>
        </w:tc>
        <w:tc>
          <w:tcPr>
            <w:tcW w:w="1289" w:type="pct"/>
            <w:vAlign w:val="center"/>
          </w:tcPr>
          <w:p w:rsidR="00096B9F" w:rsidRPr="00096B9F" w:rsidRDefault="00096B9F" w:rsidP="00096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B9F">
              <w:rPr>
                <w:rFonts w:ascii="Times New Roman" w:hAnsi="Times New Roman" w:cs="Times New Roman"/>
                <w:b/>
              </w:rPr>
              <w:t>Пріоритетні функціональні складові</w:t>
            </w:r>
          </w:p>
        </w:tc>
        <w:tc>
          <w:tcPr>
            <w:tcW w:w="1438" w:type="pct"/>
            <w:vAlign w:val="center"/>
          </w:tcPr>
          <w:p w:rsidR="00096B9F" w:rsidRPr="009A476F" w:rsidRDefault="00096B9F" w:rsidP="00096B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476F">
              <w:rPr>
                <w:rFonts w:ascii="Times New Roman" w:hAnsi="Times New Roman" w:cs="Times New Roman"/>
                <w:b/>
                <w:lang w:val="ru-RU"/>
              </w:rPr>
              <w:t>Показники-</w:t>
            </w:r>
          </w:p>
          <w:p w:rsidR="00096B9F" w:rsidRPr="009A476F" w:rsidRDefault="00096B9F" w:rsidP="00096B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476F">
              <w:rPr>
                <w:rFonts w:ascii="Times New Roman" w:hAnsi="Times New Roman" w:cs="Times New Roman"/>
                <w:b/>
                <w:lang w:val="ru-RU"/>
              </w:rPr>
              <w:t>індикатори та їх порогові</w:t>
            </w:r>
          </w:p>
          <w:p w:rsidR="00096B9F" w:rsidRPr="009A476F" w:rsidRDefault="00096B9F" w:rsidP="00096B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476F">
              <w:rPr>
                <w:rFonts w:ascii="Times New Roman" w:hAnsi="Times New Roman" w:cs="Times New Roman"/>
                <w:b/>
                <w:lang w:val="ru-RU"/>
              </w:rPr>
              <w:t>значення</w:t>
            </w:r>
          </w:p>
        </w:tc>
      </w:tr>
      <w:tr w:rsidR="00096B9F" w:rsidTr="0077166D">
        <w:trPr>
          <w:trHeight w:val="920"/>
          <w:jc w:val="center"/>
        </w:trPr>
        <w:tc>
          <w:tcPr>
            <w:tcW w:w="907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</w:rPr>
            </w:pPr>
            <w:r w:rsidRPr="00096B9F">
              <w:rPr>
                <w:rFonts w:ascii="Times New Roman" w:hAnsi="Times New Roman" w:cs="Times New Roman"/>
              </w:rPr>
              <w:t>1. Критичний</w:t>
            </w:r>
          </w:p>
        </w:tc>
        <w:tc>
          <w:tcPr>
            <w:tcW w:w="1366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</w:rPr>
            </w:pPr>
            <w:r w:rsidRPr="00096B9F">
              <w:rPr>
                <w:rFonts w:ascii="Times New Roman" w:hAnsi="Times New Roman" w:cs="Times New Roman"/>
              </w:rPr>
              <w:t>Найвищою є</w:t>
            </w:r>
            <w:r w:rsidR="0077166D">
              <w:rPr>
                <w:rFonts w:ascii="Times New Roman" w:hAnsi="Times New Roman" w:cs="Times New Roman"/>
              </w:rPr>
              <w:t xml:space="preserve"> </w:t>
            </w:r>
            <w:r w:rsidRPr="00096B9F">
              <w:rPr>
                <w:rFonts w:ascii="Times New Roman" w:hAnsi="Times New Roman" w:cs="Times New Roman"/>
              </w:rPr>
              <w:t>ймовірність припинення</w:t>
            </w:r>
            <w:r w:rsidR="007716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</w:rPr>
              <w:t>діяльності</w:t>
            </w:r>
          </w:p>
        </w:tc>
        <w:tc>
          <w:tcPr>
            <w:tcW w:w="1289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</w:rPr>
            </w:pPr>
            <w:r w:rsidRPr="00096B9F">
              <w:rPr>
                <w:rFonts w:ascii="Times New Roman" w:hAnsi="Times New Roman" w:cs="Times New Roman"/>
              </w:rPr>
              <w:t>Силова,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</w:rPr>
            </w:pPr>
            <w:r w:rsidRPr="00096B9F">
              <w:rPr>
                <w:rFonts w:ascii="Times New Roman" w:hAnsi="Times New Roman" w:cs="Times New Roman"/>
              </w:rPr>
              <w:t>фінансова,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</w:rPr>
            </w:pPr>
            <w:r w:rsidRPr="00096B9F">
              <w:rPr>
                <w:rFonts w:ascii="Times New Roman" w:hAnsi="Times New Roman" w:cs="Times New Roman"/>
              </w:rPr>
              <w:t>інституційно- правова</w:t>
            </w:r>
          </w:p>
        </w:tc>
        <w:tc>
          <w:tcPr>
            <w:tcW w:w="1438" w:type="pct"/>
            <w:vAlign w:val="center"/>
          </w:tcPr>
          <w:p w:rsidR="00096B9F" w:rsidRPr="0077166D" w:rsidRDefault="00096B9F" w:rsidP="0077166D">
            <w:pPr>
              <w:rPr>
                <w:rFonts w:ascii="Times New Roman" w:hAnsi="Times New Roman" w:cs="Times New Roman"/>
                <w:lang w:val="ru-RU"/>
              </w:rPr>
            </w:pPr>
            <w:r w:rsidRPr="0077166D">
              <w:rPr>
                <w:rFonts w:ascii="Times New Roman" w:hAnsi="Times New Roman" w:cs="Times New Roman"/>
                <w:lang w:val="ru-RU"/>
              </w:rPr>
              <w:t>Дохід фактичний</w:t>
            </w:r>
            <w:r w:rsidR="0077166D" w:rsidRPr="0077166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166D">
              <w:rPr>
                <w:rFonts w:ascii="Times New Roman" w:hAnsi="Times New Roman" w:cs="Times New Roman"/>
                <w:lang w:val="ru-RU"/>
              </w:rPr>
              <w:t>(&gt;доходу у точці беззбитковості);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</w:rPr>
            </w:pPr>
            <w:r w:rsidRPr="00096B9F">
              <w:rPr>
                <w:rFonts w:ascii="Times New Roman" w:hAnsi="Times New Roman" w:cs="Times New Roman"/>
              </w:rPr>
              <w:t>прибуток (≤0)</w:t>
            </w:r>
          </w:p>
        </w:tc>
      </w:tr>
    </w:tbl>
    <w:p w:rsidR="00096B9F" w:rsidRDefault="00096B9F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Default="0077166D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Default="0077166D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Default="0077166D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Default="0077166D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Default="0077166D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Default="0077166D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Default="0077166D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7166D" w:rsidRPr="0077166D" w:rsidRDefault="0077166D" w:rsidP="0077166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77166D">
        <w:rPr>
          <w:rFonts w:ascii="Times New Roman" w:hAnsi="Times New Roman" w:cs="Times New Roman"/>
          <w:i/>
          <w:noProof/>
          <w:sz w:val="28"/>
          <w:szCs w:val="28"/>
          <w:lang w:val="uk-UA"/>
        </w:rPr>
        <w:lastRenderedPageBreak/>
        <w:t>Продовження таблиці 5.3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1"/>
        <w:gridCol w:w="2361"/>
        <w:gridCol w:w="1561"/>
        <w:gridCol w:w="3962"/>
      </w:tblGrid>
      <w:tr w:rsidR="0077166D" w:rsidTr="0077166D">
        <w:trPr>
          <w:trHeight w:val="2540"/>
          <w:jc w:val="center"/>
        </w:trPr>
        <w:tc>
          <w:tcPr>
            <w:tcW w:w="782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2. Перед-критичний</w:t>
            </w:r>
          </w:p>
        </w:tc>
        <w:tc>
          <w:tcPr>
            <w:tcW w:w="1263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Обсяги доходу є меншими або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відповідають точці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беззбитковості</w:t>
            </w:r>
          </w:p>
        </w:tc>
        <w:tc>
          <w:tcPr>
            <w:tcW w:w="835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Фінансова,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інформаційна, маркетингова</w:t>
            </w:r>
          </w:p>
        </w:tc>
        <w:tc>
          <w:tcPr>
            <w:tcW w:w="2120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 xml:space="preserve">Коефіцієнт поточної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ліквід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ності (&lt;1);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Коефіцієнт фінансування (≤1);</w:t>
            </w:r>
          </w:p>
          <w:p w:rsid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 xml:space="preserve">коефіцієнт швидкої ліквід ності (≤0,6); коефіцієнт автономії (&lt;0,5); 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коефіцієнт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абсолютної ліквідності</w:t>
            </w:r>
            <w:r w:rsidR="007716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(&lt;0,2);</w:t>
            </w:r>
          </w:p>
          <w:p w:rsid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 xml:space="preserve">коефіцієнт покриття (≤1); </w:t>
            </w:r>
          </w:p>
          <w:p w:rsid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 xml:space="preserve">рентабельність доходу (≤0); 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коефіцієнт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маневрування, коефіцієнт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забезпечення власними коштами (менше середньогалузевого)</w:t>
            </w:r>
          </w:p>
        </w:tc>
      </w:tr>
      <w:tr w:rsidR="0077166D" w:rsidTr="0077166D">
        <w:trPr>
          <w:trHeight w:val="2398"/>
          <w:jc w:val="center"/>
        </w:trPr>
        <w:tc>
          <w:tcPr>
            <w:tcW w:w="782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3. Низький</w:t>
            </w:r>
          </w:p>
        </w:tc>
        <w:tc>
          <w:tcPr>
            <w:tcW w:w="1263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Забезпечується мінімально прийнятний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рівень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рентабельності власного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капіталу</w:t>
            </w:r>
          </w:p>
        </w:tc>
        <w:tc>
          <w:tcPr>
            <w:tcW w:w="835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Фінансова,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інформаційна, техніко-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технологічна</w:t>
            </w:r>
          </w:p>
        </w:tc>
        <w:tc>
          <w:tcPr>
            <w:tcW w:w="2120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Коефіцієнт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рентабельності капіталу,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фондовіддача, коефіцієнт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оборотності товарних запасів, коефіцієнт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оборотності оборотних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активів (менше середньогалузе вого);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коефіцієнт зносу основних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засобів, коефіцієнт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довгостроково го залучення позикових коштів (більше середньогалузе вого)</w:t>
            </w:r>
          </w:p>
        </w:tc>
      </w:tr>
      <w:tr w:rsidR="0077166D" w:rsidTr="0077166D">
        <w:trPr>
          <w:trHeight w:val="2302"/>
          <w:jc w:val="center"/>
        </w:trPr>
        <w:tc>
          <w:tcPr>
            <w:tcW w:w="782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4. Задовільний</w:t>
            </w:r>
          </w:p>
        </w:tc>
        <w:tc>
          <w:tcPr>
            <w:tcW w:w="1263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Існує суттєва невідповідність забезпечення персоналом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 xml:space="preserve">належного професійно-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кваліфікацій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ного рівня,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недостатньою є якість товарів</w:t>
            </w:r>
          </w:p>
        </w:tc>
        <w:tc>
          <w:tcPr>
            <w:tcW w:w="835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Інституційно- правова,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інтелектуально- кадрова,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маркетингова, техніко-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технологічна</w:t>
            </w:r>
          </w:p>
        </w:tc>
        <w:tc>
          <w:tcPr>
            <w:tcW w:w="2120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Коефіцієнт відношення продуктивності праці до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середньої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заробітної плати (&lt;1);</w:t>
            </w:r>
          </w:p>
          <w:p w:rsid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рентабельність, фондоозброєність (менше</w:t>
            </w:r>
            <w:r w:rsidR="007716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 xml:space="preserve">середньогалузе вого); 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плинність кадрів (більше</w:t>
            </w:r>
            <w:r w:rsidR="007716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середньогалузе вого)</w:t>
            </w:r>
          </w:p>
        </w:tc>
      </w:tr>
      <w:tr w:rsidR="0077166D" w:rsidTr="0077166D">
        <w:trPr>
          <w:trHeight w:val="2690"/>
          <w:jc w:val="center"/>
        </w:trPr>
        <w:tc>
          <w:tcPr>
            <w:tcW w:w="782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5.Прийнятний</w:t>
            </w:r>
          </w:p>
        </w:tc>
        <w:tc>
          <w:tcPr>
            <w:tcW w:w="1263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Підприємство своєчасно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реалізує превентивні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 xml:space="preserve">заходи в системі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ризик-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менеджменту з помірними (прийнятними) втратами, розвивається і покращує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ефективність фінансово-</w:t>
            </w:r>
          </w:p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господарської діяльності</w:t>
            </w:r>
          </w:p>
        </w:tc>
        <w:tc>
          <w:tcPr>
            <w:tcW w:w="835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Економічна безпека</w:t>
            </w:r>
          </w:p>
        </w:tc>
        <w:tc>
          <w:tcPr>
            <w:tcW w:w="2120" w:type="pct"/>
            <w:vAlign w:val="center"/>
          </w:tcPr>
          <w:p w:rsidR="00096B9F" w:rsidRPr="00096B9F" w:rsidRDefault="00096B9F" w:rsidP="0077166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96B9F">
              <w:rPr>
                <w:rFonts w:ascii="Times New Roman" w:hAnsi="Times New Roman" w:cs="Times New Roman"/>
                <w:noProof/>
                <w:lang w:val="uk-UA"/>
              </w:rPr>
              <w:t>Коефіцієнт відношення відвернених втрат до суми ймовірного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="0077166D">
              <w:rPr>
                <w:rFonts w:ascii="Times New Roman" w:hAnsi="Times New Roman" w:cs="Times New Roman"/>
                <w:noProof/>
                <w:lang w:val="uk-UA"/>
              </w:rPr>
              <w:t xml:space="preserve">збитку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внаслідок неправомірних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дій та витрат на охорону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096B9F">
              <w:rPr>
                <w:rFonts w:ascii="Times New Roman" w:hAnsi="Times New Roman" w:cs="Times New Roman"/>
                <w:noProof/>
                <w:lang w:val="uk-UA"/>
              </w:rPr>
              <w:t>(&lt;1)</w:t>
            </w:r>
          </w:p>
        </w:tc>
      </w:tr>
    </w:tbl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A440A6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C549C7" w:rsidRPr="00096B9F">
        <w:rPr>
          <w:rFonts w:ascii="Times New Roman" w:hAnsi="Times New Roman" w:cs="Times New Roman"/>
          <w:noProof/>
          <w:szCs w:val="28"/>
          <w:lang w:val="uk-UA"/>
        </w:rPr>
        <w:t xml:space="preserve">*Примітка: процедура </w:t>
      </w:r>
      <w:r w:rsidR="00AA6ED0" w:rsidRPr="00096B9F">
        <w:rPr>
          <w:rFonts w:ascii="Times New Roman" w:hAnsi="Times New Roman" w:cs="Times New Roman"/>
          <w:noProof/>
          <w:szCs w:val="28"/>
          <w:lang w:val="uk-UA"/>
        </w:rPr>
        <w:t>оцінювання</w:t>
      </w:r>
      <w:r w:rsidR="00C549C7" w:rsidRPr="00096B9F">
        <w:rPr>
          <w:rFonts w:ascii="Times New Roman" w:hAnsi="Times New Roman" w:cs="Times New Roman"/>
          <w:noProof/>
          <w:szCs w:val="28"/>
          <w:lang w:val="uk-UA"/>
        </w:rPr>
        <w:t xml:space="preserve"> передбачає </w:t>
      </w:r>
      <w:r w:rsidR="00AA6ED0" w:rsidRPr="00096B9F">
        <w:rPr>
          <w:rFonts w:ascii="Times New Roman" w:hAnsi="Times New Roman" w:cs="Times New Roman"/>
          <w:noProof/>
          <w:szCs w:val="28"/>
          <w:lang w:val="uk-UA"/>
        </w:rPr>
        <w:t>послідовне проходження її етапів за логікою: згори – донизу.</w:t>
      </w:r>
    </w:p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Критичному рівню безпеки відповідає найнижчий стан, при якому найвищою є ймовірність припинення діяльності підприємства. Наголосимо, що нерівномірними (з огляду на безпеку підприємства) є показники ефективності використання ресурсів та, наприклад, збиток. У підприємства на стадії банкрутства суттєво знижується потреба у забезпеченні високого рівня прибутковості праці, витратомісткості. Тому про критично низький рівень фінансово-економічної безпеки свідчитимуть передусім індикатори в межах таких функціональних складових, як силова та фінансова (наявність злочинних посягань, рейдерство, неправомірні та незаконні дії з боку органів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державного управління і контролю, інших ринкових суб’єктів, збитковість діяльності, незадовільні показники фінансової стійкості, ліквідності та платоспроможності).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Передкритичним визначимо такий стан фінансово-економічної безпеки, при якому фінансово-господарська діяльність суб’єкта господарювання неспроможна забезпечити належні обсяги доходу та є збитковою. На цьому рівні найважливішими складовими економічної безпеки виступають фінансова та інформаційна, нездатність забезпечення належного рівня яких може призвести до зниження безпеки, а отже й до ліквідації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Індикаторами на цьому рівні забезпечення економічної безпеки, які свідчать про негативні тенденції у фінансово-господарській діяльності первинної ланки економіки, виступають коефіцієнт автономії та маневрування, а також рентабельність доходу.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При задовільному рівні фінансово-економічної безпеки підприємство здатне вести прибуткову діяльність, проте йому бракує висококваліфікованого персоналу, високою є плинність кадрів та низькою – ефективність їх праці. На цьому рівні підприємство неспроможне забезпечити споживачів товарами високої якості, що, у свою чергу, впливає на його імідж та фінансово-господарський стан.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індикаторами, які характеризують задовільний стан фінансово-економічної безпеки суб’єкта господарювання, є коефіцієнт відношення продуктивності праці до середньої заробітної плати, рентабельність діяльності підприємства, фондоозброєність та плинність кадрів.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Найвищому (прийнятному) рівню безпеки відповідає такий стан функціонування підприємства, при якому проводиться достатньо ефективна фінансово-господарська діяльність із невисокою ймовірністю настання зовнішніх та внутрішніх загроз. За такого стану</w:t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безпеки підприємством сформована надійна система її забезпечення, що дозволяє управляти всіма її функціональними складовими, своєчасно виявляти та знешкоджувати загрози.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Особливістю узагальненого нами підходу є визначення не конкретного узагальненого значення рівня безпеки, а лише характеристики її стану, причому його діагностика здійснюється різними методами та з використанням різних показників-індикаторів, що не виключає загальноприйнятих методичних підходів до оцінки економічної безпеки підприємства, поданих в економічній літературі, а дозволяє мінімізувати їх недоліки та посилити інтегрованість застосування.</w:t>
      </w:r>
    </w:p>
    <w:p w:rsidR="008E5072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77166D" w:rsidRDefault="0077166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5.3 Визначення критеріїв та індикаторів оцінки ефективності діяльності суб’єктів системи економічної безпеки підприємства.</w:t>
      </w: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A6ED0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Для оцінки ефективності діяльності суб’єктів системи економічної безпеки підприємств використовується індикаторний підхід коли рівень економічної безпеки визначається за допомогою так званих індикаторів.</w:t>
      </w:r>
    </w:p>
    <w:p w:rsidR="00AA6ED0" w:rsidRPr="0017376E" w:rsidRDefault="00A440A6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Вони розглядаються як порогові значення показників, що характеризують діяльність підприємства в різних функціональних областях, дотичних до економічної безпеки. Оцінювання економічної безпеки підприємства встановлюється, виходячи з порівняння фактичних показників його діяльності з індикаторами. Слід зазначити, що формування системи індикаторів і розрахунок інтегрального індикатора економічної безпеки передбачені Концепцією економічної безпеки України.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До індикаторів оцінювання фінансової безпеки підприємства запропоновано включити десять показників.</w:t>
      </w:r>
    </w:p>
    <w:p w:rsidR="00A440A6" w:rsidRPr="0017376E" w:rsidRDefault="00A440A6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A440A6" w:rsidP="00A440A6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Таблиця 5.4</w:t>
      </w:r>
    </w:p>
    <w:p w:rsidR="00AA6ED0" w:rsidRDefault="00AA6ED0" w:rsidP="00A440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Нормативні індикатори оцінювання фінансового стану</w:t>
      </w:r>
      <w:r w:rsidR="00A440A6"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підприємства</w:t>
      </w:r>
    </w:p>
    <w:p w:rsidR="0077166D" w:rsidRDefault="0077166D" w:rsidP="0077166D">
      <w:pPr>
        <w:spacing w:line="252" w:lineRule="exact"/>
        <w:ind w:left="217" w:right="211"/>
        <w:jc w:val="center"/>
        <w:rPr>
          <w:b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2721"/>
        <w:gridCol w:w="4874"/>
        <w:gridCol w:w="1215"/>
      </w:tblGrid>
      <w:tr w:rsidR="001E5AD3" w:rsidTr="001E5AD3">
        <w:trPr>
          <w:trHeight w:val="505"/>
          <w:jc w:val="center"/>
        </w:trPr>
        <w:tc>
          <w:tcPr>
            <w:tcW w:w="1742" w:type="pct"/>
            <w:gridSpan w:val="2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b/>
                <w:noProof/>
                <w:lang w:val="uk-UA"/>
              </w:rPr>
              <w:t>Показники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b/>
                <w:noProof/>
                <w:lang w:val="uk-UA"/>
              </w:rPr>
              <w:t>Методика розрахунку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b/>
                <w:noProof/>
                <w:lang w:val="uk-UA"/>
              </w:rPr>
              <w:t>Нормативні значення</w:t>
            </w:r>
          </w:p>
        </w:tc>
      </w:tr>
      <w:tr w:rsidR="001E5AD3" w:rsidTr="001E5AD3">
        <w:trPr>
          <w:trHeight w:val="723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9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х1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Коефіцієнт</w:t>
            </w:r>
            <w:r w:rsidR="001E5AD3" w:rsidRP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співвідношення</w:t>
            </w:r>
            <w:r w:rsidR="001E5AD3" w:rsidRP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залучених і власних коштів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Позичкові кошти / Власні кошти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</w:tr>
      <w:tr w:rsidR="001E5AD3" w:rsidTr="001E5AD3">
        <w:trPr>
          <w:trHeight w:val="563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х2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Коефіцієнт</w:t>
            </w:r>
            <w:r w:rsidR="001E5AD3" w:rsidRP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маневреності власних коштів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Грошові засоби /Капітал, що функціонує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0,3</w:t>
            </w:r>
          </w:p>
        </w:tc>
      </w:tr>
      <w:tr w:rsidR="001E5AD3" w:rsidTr="001E5AD3">
        <w:trPr>
          <w:trHeight w:val="1124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х3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 xml:space="preserve">Коефіцієнт реальної </w:t>
            </w:r>
            <w:r w:rsidR="001E5AD3" w:rsidRPr="001E5AD3">
              <w:rPr>
                <w:rFonts w:ascii="Times New Roman" w:hAnsi="Times New Roman" w:cs="Times New Roman"/>
                <w:noProof/>
                <w:lang w:val="uk-UA"/>
              </w:rPr>
              <w:t xml:space="preserve">вартості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основних засобів у вартості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="009A476F">
              <w:rPr>
                <w:rFonts w:ascii="Times New Roman" w:hAnsi="Times New Roman" w:cs="Times New Roman"/>
                <w:noProof/>
                <w:lang w:val="uk-UA"/>
              </w:rPr>
              <w:t xml:space="preserve">майна </w:t>
            </w:r>
            <w:bookmarkStart w:id="0" w:name="_GoBack"/>
            <w:bookmarkEnd w:id="0"/>
            <w:r w:rsidRPr="001E5AD3">
              <w:rPr>
                <w:rFonts w:ascii="Times New Roman" w:hAnsi="Times New Roman" w:cs="Times New Roman"/>
                <w:noProof/>
                <w:lang w:val="uk-UA"/>
              </w:rPr>
              <w:t>підприємства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(Вартість основних засобів + сума нагромадженої</w:t>
            </w:r>
          </w:p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амортизації) / Вартість майна підприємства за підсумком нетто-балансу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0,3</w:t>
            </w:r>
          </w:p>
        </w:tc>
      </w:tr>
      <w:tr w:rsidR="001E5AD3" w:rsidTr="001E5AD3">
        <w:trPr>
          <w:trHeight w:val="506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х4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Коефіцієнт покриття</w:t>
            </w:r>
          </w:p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(проміжний, поточний)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Поточні активи /Поточні зобов’язання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0,7</w:t>
            </w:r>
          </w:p>
        </w:tc>
      </w:tr>
      <w:tr w:rsidR="001E5AD3" w:rsidTr="001E5AD3">
        <w:trPr>
          <w:trHeight w:val="751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х5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Загальний коефіцієнт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покриття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(Грошові кошти та їх еквіваленти +дебіторська</w:t>
            </w:r>
          </w:p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заборгованість) /Короткострокові позичкові кошти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</w:tr>
      <w:tr w:rsidR="001E5AD3" w:rsidTr="001E5AD3">
        <w:trPr>
          <w:trHeight w:val="505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х6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Коефіцієнт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автономії(незалежності)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Власні кошти / Майно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підприємства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0,5</w:t>
            </w:r>
          </w:p>
        </w:tc>
      </w:tr>
      <w:tr w:rsidR="001E5AD3" w:rsidTr="001E5AD3">
        <w:trPr>
          <w:trHeight w:val="882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х7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Коефіцієнт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забезпечення запасів і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витрат власними коштами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Власні оборотні кошти / Запаси та витрати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0,8</w:t>
            </w:r>
          </w:p>
        </w:tc>
      </w:tr>
      <w:tr w:rsidR="001E5AD3" w:rsidTr="001E5AD3">
        <w:trPr>
          <w:trHeight w:val="555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9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х8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Коефіцієнт швидкої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ліквідності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Грошові кошти та їх еквіваленти / Поточні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зобов’язання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</w:tr>
      <w:tr w:rsidR="001E5AD3" w:rsidTr="001E5AD3">
        <w:trPr>
          <w:trHeight w:val="549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х9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Коефіцієнт концентрації</w:t>
            </w:r>
          </w:p>
          <w:p w:rsidR="0077166D" w:rsidRPr="001E5AD3" w:rsidRDefault="001E5AD3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</w:t>
            </w:r>
            <w:r w:rsidR="0077166D" w:rsidRPr="001E5AD3">
              <w:rPr>
                <w:rFonts w:ascii="Times New Roman" w:hAnsi="Times New Roman" w:cs="Times New Roman"/>
                <w:noProof/>
                <w:lang w:val="uk-UA"/>
              </w:rPr>
              <w:t>алученого капіталу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Залучений капітал / Усього господарських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коштів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0,5</w:t>
            </w:r>
          </w:p>
        </w:tc>
      </w:tr>
      <w:tr w:rsidR="001E5AD3" w:rsidTr="001E5AD3">
        <w:trPr>
          <w:trHeight w:val="506"/>
          <w:jc w:val="center"/>
        </w:trPr>
        <w:tc>
          <w:tcPr>
            <w:tcW w:w="286" w:type="pct"/>
            <w:vAlign w:val="center"/>
          </w:tcPr>
          <w:p w:rsidR="0077166D" w:rsidRPr="001E5AD3" w:rsidRDefault="0077166D" w:rsidP="001E5AD3">
            <w:pPr>
              <w:pStyle w:val="TableParagraph"/>
              <w:spacing w:line="247" w:lineRule="exact"/>
              <w:rPr>
                <w:i/>
                <w:noProof/>
              </w:rPr>
            </w:pPr>
            <w:r w:rsidRPr="001E5AD3">
              <w:rPr>
                <w:i/>
                <w:noProof/>
              </w:rPr>
              <w:t>х10</w:t>
            </w:r>
          </w:p>
        </w:tc>
        <w:tc>
          <w:tcPr>
            <w:tcW w:w="1456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Загальний коефіцієнт</w:t>
            </w:r>
          </w:p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ліквідності</w:t>
            </w:r>
          </w:p>
        </w:tc>
        <w:tc>
          <w:tcPr>
            <w:tcW w:w="2608" w:type="pct"/>
            <w:vAlign w:val="center"/>
          </w:tcPr>
          <w:p w:rsidR="0077166D" w:rsidRPr="001E5AD3" w:rsidRDefault="0077166D" w:rsidP="001E5AD3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Активи / Власний</w:t>
            </w:r>
            <w:r w:rsidR="001E5AD3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1E5AD3">
              <w:rPr>
                <w:rFonts w:ascii="Times New Roman" w:hAnsi="Times New Roman" w:cs="Times New Roman"/>
                <w:noProof/>
                <w:lang w:val="uk-UA"/>
              </w:rPr>
              <w:t>капітал</w:t>
            </w:r>
          </w:p>
        </w:tc>
        <w:tc>
          <w:tcPr>
            <w:tcW w:w="650" w:type="pct"/>
            <w:vAlign w:val="center"/>
          </w:tcPr>
          <w:p w:rsidR="0077166D" w:rsidRPr="001E5AD3" w:rsidRDefault="0077166D" w:rsidP="001E5AD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E5AD3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</w:tr>
    </w:tbl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Систему фінансової безпеки підприємства аналізують за двома підходами: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1) 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порівняння узагальнених індикаторів досліджуваного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«еталонного» підприємств на основі віддалей між локальними показниками системи фінансової безпеки;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2)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порівняння фактичного і нормативного значень інтегрального індикатора, тобто дослідження динаміки рівня фінансової безпеки підприємства й можливості її покращення.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Згідно з першим підходом визначення рівня фінансової безпеки здійснюють на основі відстані (відхилення) інтегрального показника оцінювання фінансового стану досліджуваного підприємства від нормативного значення показника рівня фінансової безпеки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«еталонного» підприємства.</w:t>
      </w:r>
    </w:p>
    <w:p w:rsidR="00AA6ED0" w:rsidRPr="0017376E" w:rsidRDefault="00500A9E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Міра відстані рівня фінансової безпеки досліджуваного підприємства від «еталонного» дорівнює</w:t>
      </w:r>
    </w:p>
    <w:p w:rsidR="00AA6ED0" w:rsidRPr="0017376E" w:rsidRDefault="00D00D36" w:rsidP="00D00D3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uk-UA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uk-UA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uk-UA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uk-UA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uk-UA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uk-UA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uk-UA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val="uk-UA"/>
                            </w:rPr>
                            <m:t>0j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uk-U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500A9E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d>
      </m:oMath>
      <w:r w:rsidRPr="0017376E">
        <w:rPr>
          <w:i/>
          <w:noProof/>
          <w:spacing w:val="65"/>
          <w:sz w:val="21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– інтегральна міра відстані рівня фінансового стану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підприємства від «еталонного»;</w:t>
      </w:r>
    </w:p>
    <w:p w:rsidR="00500A9E" w:rsidRPr="0017376E" w:rsidRDefault="00500A9E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ij</m:t>
            </m:r>
          </m:sub>
        </m:sSub>
      </m:oMath>
      <w:r w:rsidR="00D00D36" w:rsidRPr="00D00D3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– значення j-го показника для i-го підприємства;</w:t>
      </w:r>
    </w:p>
    <w:p w:rsidR="00AA6ED0" w:rsidRPr="0017376E" w:rsidRDefault="00500A9E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noProof/>
          <w:position w:val="1"/>
          <w:lang w:val="uk-U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0j</m:t>
            </m:r>
          </m:sub>
        </m:sSub>
      </m:oMath>
      <w:r w:rsidR="00D00D36" w:rsidRPr="00D00D36">
        <w:rPr>
          <w:rFonts w:eastAsiaTheme="minorEastAsia"/>
          <w:noProof/>
          <w:sz w:val="28"/>
          <w:szCs w:val="28"/>
        </w:rPr>
        <w:t xml:space="preserve"> </w:t>
      </w:r>
      <w:r w:rsidRPr="0017376E">
        <w:rPr>
          <w:noProof/>
          <w:position w:val="1"/>
          <w:lang w:val="uk-UA"/>
        </w:rPr>
        <w:t>–</w:t>
      </w:r>
      <w:r w:rsidRPr="0017376E">
        <w:rPr>
          <w:noProof/>
          <w:spacing w:val="8"/>
          <w:position w:val="1"/>
          <w:lang w:val="uk-UA"/>
        </w:rPr>
        <w:t xml:space="preserve"> </w:t>
      </w:r>
      <w:r w:rsidR="00D00D36">
        <w:rPr>
          <w:rFonts w:ascii="Times New Roman" w:hAnsi="Times New Roman" w:cs="Times New Roman"/>
          <w:noProof/>
          <w:sz w:val="28"/>
          <w:szCs w:val="28"/>
          <w:lang w:val="uk-UA"/>
        </w:rPr>
        <w:t>значення j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-го показника для «еталонного» підприємства (нормативне значення показника).</w:t>
      </w:r>
    </w:p>
    <w:p w:rsidR="00AA6ED0" w:rsidRPr="0017376E" w:rsidRDefault="00500A9E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Нормативні значення показників можна отримати за допомогою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методів експертного оцінювання або з наукових джерел</w:t>
      </w:r>
    </w:p>
    <w:p w:rsidR="00AA6ED0" w:rsidRPr="0017376E" w:rsidRDefault="00500A9E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Інтегральний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показник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 xml:space="preserve"> </m:t>
        </m:r>
      </m:oMath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показує рівень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відхилення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фінансового стану 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і-го підприємства від «еталонного».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Якщо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00D36" w:rsidRPr="00D00D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/>
          </w:rPr>
          <m:t>d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8"/>
            <w:szCs w:val="28"/>
            <w:lang w:val="uk-UA"/>
          </w:rPr>
          <m:t>=0</m:t>
        </m:r>
      </m:oMath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00D36">
        <w:rPr>
          <w:rFonts w:ascii="Times New Roman" w:hAnsi="Times New Roman" w:cs="Times New Roman"/>
          <w:noProof/>
          <w:sz w:val="28"/>
          <w:szCs w:val="28"/>
        </w:rPr>
        <w:t>,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то це 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означає, що 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підприємстві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досягнуто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оптимального рівня безпеки. Зростання відстані від «еталонного» підприємства в динаміці свідчить про погіршення фінансового стану і зменшення рівня фінансової безпеки.</w:t>
      </w: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17376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5.4 Організація і техніка проведення моніторингу оцінювання стану безпеки підприємства.</w:t>
      </w: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072" w:rsidRPr="0017376E" w:rsidRDefault="008E5072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Під моніторингом оцінювання рівня фінансово-економічної безпеки підприємства розуміють механізм постійного спостереження за основними показниками поточної діяльності в умовах постійних змін кон’юнктури фінансового ринку.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Побудова системи моніторингу фінансової діяльності підприємства повинна ґрунтуватися на використанні таких</w:t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принципів: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Принцип вибору для спостереження найбільш важливих показників фінансової діяльності підприємства, які відображають пріоритетні напрями діяльності підприємства і, відповідно, фінансового контролю.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Принцип розроблення системи інтегральних показників, які відображають фактичні результати фінансової діяльності у розрізі різних її аспектів.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Принцип встановлення періодичності формування звітної бази даних, що визначається необхідністю оперативного реагування, тобто своєчасністю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здійснення внутрішнього контролю за окремими аспектами фінансової діяльності.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Принцип встановлення критичних розмірів відхилень фактичних результатів фінансової діяльності від наперед заданих, який припускає, що на кожному підприємстві, з урахуванням специфіки його діяльності, має встановлюватися величина допустимих відхилень. Розмір цих відхилень повинен зменшуватися із збільшенням величини часового періоду спостереження.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Наприклад, для декади величина відхилення може становити приблизно 20 %, для місяця – приблизно 15 %, для кварталу – приблизно 10 %.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У випадку виявлення відхилень фактичних результатів фінансової діяльності від наперед заданих можна використовувати три</w:t>
      </w:r>
      <w:r w:rsidR="00C549C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стратегії поведінки: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«бездіяльність» – ця форма реагування використовується у випадку, коли величина відхилень є значно нижча за допустиме критичне відхилення;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«усунення відхилень» – для забезпечення виконання нормативних або планових показників діяльності підприємства доцільне розроблення і впровадження відповідних управлінських рішень;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3)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«зміна системи нормативних або планових показників» – така система дій допустима в тих випадках, коли виконання встановлених нормативних і планових показників є нереальним і вимагає перегляду відповідних критичних значень.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A0897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Принцип виявлення резервів, який використовують для нормалізації фінансової діяльності та підвищення її ефективності, пов’язаний із застосуванням стратегії «усунення відхилення». У цьому випадку аналіз резервів проводиться з врахуванням окремих аспектів фінансової діяльності підприємства.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Розглянута система організації механізму моніторингу безпеки фінансової діяльності підприємства може використовуватися як у процесі поточної діяльності підприємства, так і для диверсифікації та зміни його стратегічних цілей розвитку.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Інтегральний показник фінансової безпеки підприємства можна визначати як суму відповідних комплексних показників</w:t>
      </w:r>
    </w:p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AA6ED0" w:rsidP="000A4F88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SФБП =SУ+SПФ+SДА+SРС+SІП,</w:t>
      </w:r>
    </w:p>
    <w:p w:rsidR="00AA6ED0" w:rsidRPr="0017376E" w:rsidRDefault="00AA6ED0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де SФБП – інтегральний показник фінансової безпеки підприємства, бали;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SУ – комплексний показник оцінювання ефективності управління, бали.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Цей показник враховує рентабельність активів, рентабельність власного капіталу, загальну рентабельність продажу з валового прибутку, рентабельність продукції;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SПФ – комплексний показник оцінювання платоспроможності та фінансової стійкості, бали. Враховує коефіцієнт поточної ліквідності, абсолютної ліквідності, співвідношення кредиторської та дебіторської </w:t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заборгованості, забезпечення власними обіговими коштами, маневреності власного капіталу;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SДА – комплексний показник оцінювання ділової активності, бали. Враховує показники оборотності активів, основних засобів, оборотних активів, грошових коштів, власного капіталу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SРС – комплексний показник оцінювання ринкової стійкості, бали. Враховує коефіцієнти автономії, фінансового ризику, маневреності оборотних активів, мобільності та індекс постійного активу;</w:t>
      </w:r>
    </w:p>
    <w:p w:rsidR="00AA6ED0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SІП – комплексний показник оцінювання інвестиційної привабливості, бали. Враховує коефіцієнт чистої виручки, показник чистого прибутку на акцію, коефіцієнт реінвестування прибутку, стійкого економічного зростання, показник маржі прибутку.</w:t>
      </w:r>
    </w:p>
    <w:p w:rsidR="00FF21AA" w:rsidRPr="0017376E" w:rsidRDefault="00060BCD" w:rsidP="000A4F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A6ED0"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>Складники фінансової безпеки (SФБП, SУ, SПФ, SДА, SРС, SІП) запропоновано розраховувати методом динамічної рейтингової оцінки.</w:t>
      </w:r>
    </w:p>
    <w:sectPr w:rsidR="00FF21AA" w:rsidRPr="0017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6D" w:rsidRDefault="0027416D" w:rsidP="0077166D">
      <w:pPr>
        <w:spacing w:after="0" w:line="240" w:lineRule="auto"/>
      </w:pPr>
      <w:r>
        <w:separator/>
      </w:r>
    </w:p>
  </w:endnote>
  <w:endnote w:type="continuationSeparator" w:id="0">
    <w:p w:rsidR="0027416D" w:rsidRDefault="0027416D" w:rsidP="0077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6D" w:rsidRDefault="0027416D" w:rsidP="0077166D">
      <w:pPr>
        <w:spacing w:after="0" w:line="240" w:lineRule="auto"/>
      </w:pPr>
      <w:r>
        <w:separator/>
      </w:r>
    </w:p>
  </w:footnote>
  <w:footnote w:type="continuationSeparator" w:id="0">
    <w:p w:rsidR="0027416D" w:rsidRDefault="0027416D" w:rsidP="0077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3F28"/>
    <w:multiLevelType w:val="hybridMultilevel"/>
    <w:tmpl w:val="D404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42"/>
    <w:rsid w:val="00060BCD"/>
    <w:rsid w:val="00096B9F"/>
    <w:rsid w:val="000A4F88"/>
    <w:rsid w:val="0017376E"/>
    <w:rsid w:val="001E5AD3"/>
    <w:rsid w:val="00215CC1"/>
    <w:rsid w:val="0027416D"/>
    <w:rsid w:val="00306AC5"/>
    <w:rsid w:val="003A0897"/>
    <w:rsid w:val="003E734F"/>
    <w:rsid w:val="004526A5"/>
    <w:rsid w:val="00467543"/>
    <w:rsid w:val="00500A9E"/>
    <w:rsid w:val="0077166D"/>
    <w:rsid w:val="00781778"/>
    <w:rsid w:val="008E5072"/>
    <w:rsid w:val="009A476F"/>
    <w:rsid w:val="00A440A6"/>
    <w:rsid w:val="00AA5F72"/>
    <w:rsid w:val="00AA6ED0"/>
    <w:rsid w:val="00B75FF6"/>
    <w:rsid w:val="00C549C7"/>
    <w:rsid w:val="00D00D36"/>
    <w:rsid w:val="00E15742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23DB"/>
  <w15:chartTrackingRefBased/>
  <w15:docId w15:val="{7AF40C8A-1ABA-4EAB-8C96-E6FBFE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89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73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7376E"/>
    <w:pPr>
      <w:widowControl w:val="0"/>
      <w:autoSpaceDE w:val="0"/>
      <w:autoSpaceDN w:val="0"/>
      <w:spacing w:after="0" w:line="240" w:lineRule="auto"/>
      <w:ind w:left="232" w:firstLine="283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17376E"/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1737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77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66D"/>
  </w:style>
  <w:style w:type="paragraph" w:styleId="a8">
    <w:name w:val="footer"/>
    <w:basedOn w:val="a"/>
    <w:link w:val="a9"/>
    <w:uiPriority w:val="99"/>
    <w:unhideWhenUsed/>
    <w:rsid w:val="0077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66D"/>
  </w:style>
  <w:style w:type="character" w:styleId="aa">
    <w:name w:val="Placeholder Text"/>
    <w:basedOn w:val="a0"/>
    <w:uiPriority w:val="99"/>
    <w:semiHidden/>
    <w:rsid w:val="0046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39</cp:revision>
  <dcterms:created xsi:type="dcterms:W3CDTF">2022-11-15T12:02:00Z</dcterms:created>
  <dcterms:modified xsi:type="dcterms:W3CDTF">2022-11-21T14:41:00Z</dcterms:modified>
</cp:coreProperties>
</file>