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b/>
          <w:b/>
          <w:iCs/>
          <w:sz w:val="28"/>
          <w:szCs w:val="28"/>
          <w:lang w:val="en-US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ascii="Times New Roman" w:hAnsi="Times New Roman"/>
          <w:b/>
          <w:sz w:val="28"/>
          <w:szCs w:val="28"/>
          <w:shd w:fill="FFFFFF" w:val="clear"/>
        </w:rPr>
        <w:t>Тема 3. Професійне спілкування в усній формі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ascii="Times New Roman" w:hAnsi="Times New Roman"/>
          <w:b/>
          <w:sz w:val="28"/>
          <w:szCs w:val="28"/>
          <w:shd w:fill="FFFFFF" w:val="clear"/>
        </w:rPr>
        <w:t>Практичні заняття 7,8,9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rPr/>
      </w:pPr>
      <w:r>
        <w:rPr>
          <w:rFonts w:ascii="Times New Roman" w:hAnsi="Times New Roman"/>
          <w:b/>
          <w:sz w:val="28"/>
          <w:szCs w:val="28"/>
          <w:shd w:fill="FFFFFF" w:val="clear"/>
        </w:rPr>
        <w:t>Мета: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Надати студентам базову фахову термінологію іноземною мовою та допомогти оволодіти  англомовною лексико-граматичною компетентністю в говорінні.</w:t>
      </w:r>
      <w:r>
        <w:rPr>
          <w:rFonts w:ascii="Times New Roman" w:hAnsi="Times New Roman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ascii="Times New Roman" w:hAnsi="Times New Roman"/>
          <w:b/>
          <w:sz w:val="28"/>
          <w:szCs w:val="28"/>
          <w:shd w:fill="FFFFFF" w:val="clear"/>
        </w:rPr>
        <w:t>План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1.Усні штампи в професійній комунікації.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2. Офіційна телефонна розмова.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>3. Ведення діалогічної бесіди.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4. Наукова дискусія. </w:t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Тематичні матеріали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Усне ділове мовлення – це спілкування людей під час виконання ними службових обов’язків (під час бесід, нарад, у години прийому відвідувача тощо). Це може бути мовлення однієї службової особи перед іншою або перед колективом чи зібранням. Усна форма ділового стилю – це публічний виступ (промова), ділова бесіда, діловий прийом, ділова доповідь, ділова розмова по телефону, ділова нарада, ділові переговори. Для успішного і правильного спілкування необхідно оволодіти його прийомами, знати їх і в щоденній практиці дотримуватись.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x-none"/>
        </w:rPr>
        <w:t>Успішна реалізація іншомовної комунікативної компетентності безпосередньо залежить від рівня сформованості лексико-граматичної компетентності.</w:t>
      </w:r>
      <w:r>
        <w:rPr>
          <w:rFonts w:eastAsia="Times New Roman" w:ascii="Times New Roman" w:hAnsi="Times New Roman"/>
          <w:lang w:eastAsia="uk-UA" w:bidi="uk-UA"/>
        </w:rPr>
        <w:t xml:space="preserve"> </w:t>
      </w:r>
      <w:r>
        <w:rPr>
          <w:rFonts w:ascii="Times New Roman" w:hAnsi="Times New Roman"/>
          <w:sz w:val="28"/>
          <w:szCs w:val="28"/>
          <w:lang w:val="x-none" w:bidi="uk-UA"/>
        </w:rPr>
        <w:t>Основними компонентами лексико-граматичної компетентності в говорінні майбутніх економістів виступають: лексичні і граматичні знання, навички та усвідомленість, мовленнєві уміння у діалогічному і монологічному мовленні</w:t>
      </w:r>
      <w:r>
        <w:rPr>
          <w:rFonts w:ascii="Times New Roman" w:hAnsi="Times New Roman"/>
          <w:sz w:val="28"/>
          <w:szCs w:val="28"/>
          <w:lang w:bidi="uk-UA"/>
        </w:rPr>
        <w:t xml:space="preserve">. </w:t>
      </w:r>
      <w:r>
        <w:rPr>
          <w:rFonts w:ascii="Times New Roman" w:hAnsi="Times New Roman"/>
          <w:sz w:val="28"/>
          <w:szCs w:val="28"/>
          <w:lang w:val="x-none"/>
        </w:rPr>
        <w:t>Знання про граматику, об’єм лексикону, навички перцепції та продукування іншомовного мовлення виступають запорукою опанування майбутніми фахівцями високим рівнем володіння іноземною мовою.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>Формування англомовної лексичної компетентності (АЛК) майбутніх економістів відбувається шляхом оволодіння знаннями загальновживаної і професійної лексики (терміни, стійкі термінологічні звороти, професійні ідіоми, абревіатури та скорочення, термінологічні неологізми).</w:t>
      </w:r>
      <w:r>
        <w:rPr>
          <w:rFonts w:eastAsia="Times New Roman" w:ascii="Times New Roman" w:hAnsi="Times New Roman"/>
          <w:lang w:eastAsia="uk-UA" w:bidi="uk-UA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На лексичному рівні англомовний економічний дискурс характеризується наявністю: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загальноекономічної і вузькоспеціалізованої термінологічної лексики: </w:t>
      </w:r>
      <w:r>
        <w:rPr>
          <w:rFonts w:ascii="Times New Roman" w:hAnsi="Times New Roman"/>
          <w:iCs/>
          <w:sz w:val="28"/>
          <w:szCs w:val="28"/>
        </w:rPr>
        <w:t>scarcity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efficiency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purchase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ratio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міжгалузевої термінологічної лексики: </w:t>
      </w:r>
      <w:r>
        <w:rPr>
          <w:rFonts w:ascii="Times New Roman" w:hAnsi="Times New Roman"/>
          <w:iCs/>
          <w:sz w:val="28"/>
          <w:szCs w:val="28"/>
        </w:rPr>
        <w:t>relationship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curve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effects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стійких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термінологічних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зворотів</w:t>
      </w:r>
      <w:r>
        <w:rPr>
          <w:rFonts w:ascii="Times New Roman" w:hAnsi="Times New Roman"/>
          <w:iCs/>
          <w:sz w:val="28"/>
          <w:szCs w:val="28"/>
          <w:lang w:val="en-US"/>
        </w:rPr>
        <w:t>: marginal utility, price ceiling;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професійних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ідіом</w:t>
      </w:r>
      <w:r>
        <w:rPr>
          <w:rFonts w:ascii="Times New Roman" w:hAnsi="Times New Roman"/>
          <w:iCs/>
          <w:sz w:val="28"/>
          <w:szCs w:val="28"/>
          <w:lang w:val="en-US"/>
        </w:rPr>
        <w:t>: enterprise culture, financial meltdown, seed money, bucket trading;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абревіатур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економічної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галузі</w:t>
      </w:r>
      <w:r>
        <w:rPr>
          <w:rFonts w:ascii="Times New Roman" w:hAnsi="Times New Roman"/>
          <w:iCs/>
          <w:sz w:val="28"/>
          <w:szCs w:val="28"/>
          <w:lang w:val="en-US"/>
        </w:rPr>
        <w:t>: GDP, VAT, ROI, IMF;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термінологічних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неологізмів</w:t>
      </w:r>
      <w:r>
        <w:rPr>
          <w:rFonts w:ascii="Times New Roman" w:hAnsi="Times New Roman"/>
          <w:iCs/>
          <w:sz w:val="28"/>
          <w:szCs w:val="28"/>
          <w:lang w:val="en-US"/>
        </w:rPr>
        <w:t>: trouble shooter, glass ceiling, razzle-dazzle;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  <w:lang w:val="en-US"/>
        </w:rPr>
        <w:t>«</w:t>
      </w:r>
      <w:r>
        <w:rPr>
          <w:rFonts w:ascii="Times New Roman" w:hAnsi="Times New Roman"/>
          <w:iCs/>
          <w:sz w:val="28"/>
          <w:szCs w:val="28"/>
        </w:rPr>
        <w:t>похідних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» </w:t>
      </w:r>
      <w:r>
        <w:rPr>
          <w:rFonts w:ascii="Times New Roman" w:hAnsi="Times New Roman"/>
          <w:iCs/>
          <w:sz w:val="28"/>
          <w:szCs w:val="28"/>
        </w:rPr>
        <w:t>термінів</w:t>
      </w:r>
      <w:r>
        <w:rPr>
          <w:rFonts w:ascii="Times New Roman" w:hAnsi="Times New Roman"/>
          <w:iCs/>
          <w:sz w:val="28"/>
          <w:szCs w:val="28"/>
          <w:lang w:val="en-US"/>
        </w:rPr>
        <w:t>: hyperinflation, high-growth; stockbroker, olipology;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іншомовних запозичень: </w:t>
      </w:r>
      <w:r>
        <w:rPr>
          <w:rFonts w:ascii="Times New Roman" w:hAnsi="Times New Roman"/>
          <w:iCs/>
          <w:sz w:val="28"/>
          <w:szCs w:val="28"/>
          <w:lang w:val="en-US"/>
        </w:rPr>
        <w:t>coupon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en-US"/>
        </w:rPr>
        <w:t>arbitrage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en-US"/>
        </w:rPr>
        <w:t>entrepreneur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en-US"/>
        </w:rPr>
        <w:t>option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en-US"/>
        </w:rPr>
        <w:t>embargo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en-US"/>
        </w:rPr>
        <w:t>gambit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en-US"/>
        </w:rPr>
        <w:t>blitzkrieg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tender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offer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цифрових та формульних показників, які трансформуються у вербальні вирази;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лексичних синонімів – термінологічних одиниць, представлених, з одного боку, англомовним терміном, а з іншого – іншомовним, адаптованим у словниковому складі терміном: ban-embargo;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- лексичних і термінологічних одиниць – синонімів з нейтральною забарвленістю: to fall, to drop, to decrease, to slump, to downturn;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- графічних формотворень.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uk-UA" w:bidi="uk-UA"/>
        </w:rPr>
        <w:t>Щодо граматичних особливостей англомовного економічного дискурсу, то у ньому переважають: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53" w:leader="none"/>
        </w:tabs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lang w:eastAsia="uk-UA" w:bidi="uk-UA"/>
        </w:rPr>
        <w:t>безособові</w:t>
      </w:r>
      <w:r>
        <w:rPr>
          <w:rFonts w:ascii="Times New Roman" w:hAnsi="Times New Roman"/>
          <w:sz w:val="28"/>
          <w:lang w:val="en-US" w:eastAsia="uk-UA" w:bidi="uk-UA"/>
        </w:rPr>
        <w:t xml:space="preserve"> </w:t>
      </w:r>
      <w:r>
        <w:rPr>
          <w:rFonts w:ascii="Times New Roman" w:hAnsi="Times New Roman"/>
          <w:sz w:val="28"/>
          <w:lang w:eastAsia="uk-UA" w:bidi="uk-UA"/>
        </w:rPr>
        <w:t>конструкції</w:t>
      </w:r>
      <w:r>
        <w:rPr>
          <w:rFonts w:ascii="Times New Roman" w:hAnsi="Times New Roman"/>
          <w:sz w:val="28"/>
          <w:lang w:val="en-US" w:eastAsia="uk-UA" w:bidi="uk-UA"/>
        </w:rPr>
        <w:t xml:space="preserve"> </w:t>
      </w:r>
      <w:r>
        <w:rPr>
          <w:rFonts w:ascii="Times New Roman" w:hAnsi="Times New Roman"/>
          <w:sz w:val="28"/>
          <w:lang w:eastAsia="uk-UA" w:bidi="uk-UA"/>
        </w:rPr>
        <w:t>з</w:t>
      </w:r>
      <w:r>
        <w:rPr>
          <w:rFonts w:ascii="Times New Roman" w:hAnsi="Times New Roman"/>
          <w:sz w:val="28"/>
          <w:lang w:val="en-US" w:eastAsia="uk-UA" w:bidi="uk-UA"/>
        </w:rPr>
        <w:t xml:space="preserve"> it: It is often easier to form</w:t>
      </w:r>
      <w:r>
        <w:rPr>
          <w:rFonts w:ascii="Times New Roman" w:hAnsi="Times New Roman"/>
          <w:spacing w:val="-5"/>
          <w:sz w:val="28"/>
          <w:lang w:val="en-US" w:eastAsia="uk-UA" w:bidi="uk-UA"/>
        </w:rPr>
        <w:t xml:space="preserve"> </w:t>
      </w:r>
      <w:r>
        <w:rPr>
          <w:rFonts w:ascii="Times New Roman" w:hAnsi="Times New Roman"/>
          <w:sz w:val="28"/>
          <w:lang w:val="en-US" w:eastAsia="uk-UA" w:bidi="uk-UA"/>
        </w:rPr>
        <w:t>partnership.;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53" w:leader="none"/>
        </w:tabs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lang w:eastAsia="uk-UA" w:bidi="uk-UA"/>
        </w:rPr>
        <w:t>неозначено-особові займенники: It is…, There is….</w:t>
      </w:r>
      <w:r>
        <w:rPr>
          <w:rFonts w:ascii="Times New Roman" w:hAnsi="Times New Roman"/>
          <w:spacing w:val="-10"/>
          <w:sz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lang w:eastAsia="uk-UA" w:bidi="uk-UA"/>
        </w:rPr>
        <w:t>;</w:t>
      </w:r>
    </w:p>
    <w:p>
      <w:pPr>
        <w:pStyle w:val="Normal"/>
        <w:tabs>
          <w:tab w:val="clear" w:pos="708"/>
          <w:tab w:val="left" w:pos="1253" w:leader="none"/>
          <w:tab w:val="left" w:pos="3132" w:leader="none"/>
          <w:tab w:val="left" w:pos="3697" w:leader="none"/>
          <w:tab w:val="left" w:pos="4198" w:leader="none"/>
          <w:tab w:val="left" w:pos="5745" w:leader="none"/>
          <w:tab w:val="left" w:pos="7155" w:leader="none"/>
          <w:tab w:val="left" w:pos="9118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lang w:eastAsia="uk-UA" w:bidi="uk-UA"/>
        </w:rPr>
        <w:t>- прикметники, які</w:t>
        <w:tab/>
        <w:t>не</w:t>
        <w:tab/>
        <w:t>виражають</w:t>
        <w:tab/>
        <w:t>емоційної забарвленості:</w:t>
        <w:tab/>
      </w:r>
      <w:r>
        <w:rPr>
          <w:rFonts w:eastAsia="Times New Roman" w:ascii="Times New Roman" w:hAnsi="Times New Roman"/>
          <w:spacing w:val="-4"/>
          <w:sz w:val="28"/>
          <w:lang w:eastAsia="uk-UA" w:bidi="uk-UA"/>
        </w:rPr>
        <w:t xml:space="preserve">steady,  </w:t>
      </w:r>
      <w:r>
        <w:rPr>
          <w:rFonts w:eastAsia="Times New Roman" w:ascii="Times New Roman" w:hAnsi="Times New Roman"/>
          <w:sz w:val="28"/>
          <w:lang w:eastAsia="uk-UA" w:bidi="uk-UA"/>
        </w:rPr>
        <w:t>excessive,</w:t>
      </w:r>
      <w:r>
        <w:rPr>
          <w:rFonts w:eastAsia="Times New Roman" w:ascii="Times New Roman" w:hAnsi="Times New Roman"/>
          <w:spacing w:val="-2"/>
          <w:sz w:val="28"/>
          <w:lang w:eastAsia="uk-UA" w:bidi="uk-UA"/>
        </w:rPr>
        <w:t xml:space="preserve"> </w:t>
      </w:r>
      <w:r>
        <w:rPr>
          <w:rFonts w:eastAsia="Times New Roman" w:ascii="Times New Roman" w:hAnsi="Times New Roman"/>
          <w:sz w:val="28"/>
          <w:lang w:eastAsia="uk-UA" w:bidi="uk-UA"/>
        </w:rPr>
        <w:t>rapid;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253" w:leader="none"/>
        </w:tabs>
        <w:spacing w:lineRule="auto" w:line="240" w:before="0" w:after="0"/>
        <w:ind w:left="0" w:firstLine="709"/>
        <w:jc w:val="both"/>
        <w:rPr/>
      </w:pPr>
      <w:r>
        <w:rPr>
          <w:rFonts w:ascii="Times New Roman" w:hAnsi="Times New Roman"/>
          <w:sz w:val="28"/>
          <w:lang w:eastAsia="uk-UA" w:bidi="uk-UA"/>
        </w:rPr>
        <w:t>пасивні</w:t>
      </w:r>
      <w:r>
        <w:rPr>
          <w:rFonts w:ascii="Times New Roman" w:hAnsi="Times New Roman"/>
          <w:sz w:val="28"/>
          <w:lang w:val="en-US" w:eastAsia="uk-UA" w:bidi="uk-UA"/>
        </w:rPr>
        <w:t xml:space="preserve"> </w:t>
      </w:r>
      <w:r>
        <w:rPr>
          <w:rFonts w:ascii="Times New Roman" w:hAnsi="Times New Roman"/>
          <w:sz w:val="28"/>
          <w:lang w:eastAsia="uk-UA" w:bidi="uk-UA"/>
        </w:rPr>
        <w:t>конструкції</w:t>
      </w:r>
      <w:r>
        <w:rPr>
          <w:rFonts w:ascii="Times New Roman" w:hAnsi="Times New Roman"/>
          <w:sz w:val="28"/>
          <w:lang w:val="en-US" w:eastAsia="uk-UA" w:bidi="uk-UA"/>
        </w:rPr>
        <w:t xml:space="preserve">:The taxes were introduced. </w:t>
      </w:r>
      <w:r>
        <w:rPr>
          <w:rFonts w:ascii="Times New Roman" w:hAnsi="Times New Roman"/>
          <w:sz w:val="28"/>
          <w:lang w:eastAsia="uk-UA" w:bidi="uk-UA"/>
        </w:rPr>
        <w:t>The duties were</w:t>
      </w:r>
      <w:r>
        <w:rPr>
          <w:rFonts w:ascii="Times New Roman" w:hAnsi="Times New Roman"/>
          <w:spacing w:val="-14"/>
          <w:sz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lang w:eastAsia="uk-UA" w:bidi="uk-UA"/>
        </w:rPr>
        <w:t>imposed;</w:t>
      </w:r>
    </w:p>
    <w:p>
      <w:pPr>
        <w:pStyle w:val="Normal"/>
        <w:tabs>
          <w:tab w:val="clear" w:pos="708"/>
          <w:tab w:val="left" w:pos="1253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lang w:val="en-US" w:eastAsia="uk-UA" w:bidi="uk-UA"/>
        </w:rPr>
        <w:t xml:space="preserve">- </w:t>
      </w:r>
      <w:r>
        <w:rPr>
          <w:rFonts w:eastAsia="Times New Roman" w:ascii="Times New Roman" w:hAnsi="Times New Roman"/>
          <w:sz w:val="28"/>
          <w:lang w:eastAsia="uk-UA" w:bidi="uk-UA"/>
        </w:rPr>
        <w:t>модальні дієслова: Monopolies may operate against the public interest. We can assure that;</w:t>
      </w:r>
    </w:p>
    <w:p>
      <w:pPr>
        <w:pStyle w:val="Normal"/>
        <w:tabs>
          <w:tab w:val="clear" w:pos="708"/>
          <w:tab w:val="left" w:pos="1253" w:leader="none"/>
          <w:tab w:val="left" w:pos="2363" w:leader="none"/>
          <w:tab w:val="left" w:pos="4212" w:leader="none"/>
          <w:tab w:val="left" w:pos="5380" w:leader="none"/>
          <w:tab w:val="left" w:pos="7224" w:leader="none"/>
          <w:tab w:val="left" w:pos="8236" w:leader="none"/>
          <w:tab w:val="left" w:pos="8626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lang w:eastAsia="uk-UA" w:bidi="uk-UA"/>
        </w:rPr>
        <w:t>- широке</w:t>
        <w:tab/>
        <w:t>використання</w:t>
        <w:tab/>
        <w:t>простих</w:t>
        <w:tab/>
        <w:t>двоскладових</w:t>
        <w:tab/>
        <w:t>речень</w:t>
        <w:tab/>
        <w:t xml:space="preserve">зі </w:t>
      </w:r>
      <w:r>
        <w:rPr>
          <w:rFonts w:eastAsia="Times New Roman" w:ascii="Times New Roman" w:hAnsi="Times New Roman"/>
          <w:spacing w:val="-3"/>
          <w:sz w:val="28"/>
          <w:lang w:eastAsia="uk-UA" w:bidi="uk-UA"/>
        </w:rPr>
        <w:t xml:space="preserve">кладеним </w:t>
      </w:r>
      <w:r>
        <w:rPr>
          <w:rFonts w:eastAsia="Times New Roman" w:ascii="Times New Roman" w:hAnsi="Times New Roman"/>
          <w:sz w:val="28"/>
          <w:lang w:eastAsia="uk-UA" w:bidi="uk-UA"/>
        </w:rPr>
        <w:t>присудком: Alevation of poverty has always been a legitimate goal of public</w:t>
      </w:r>
      <w:r>
        <w:rPr>
          <w:rFonts w:eastAsia="Times New Roman" w:ascii="Times New Roman" w:hAnsi="Times New Roman"/>
          <w:spacing w:val="-40"/>
          <w:sz w:val="28"/>
          <w:lang w:eastAsia="uk-UA" w:bidi="uk-UA"/>
        </w:rPr>
        <w:t xml:space="preserve"> </w:t>
      </w:r>
      <w:r>
        <w:rPr>
          <w:rFonts w:eastAsia="Times New Roman" w:ascii="Times New Roman" w:hAnsi="Times New Roman"/>
          <w:sz w:val="28"/>
          <w:lang w:eastAsia="uk-UA" w:bidi="uk-UA"/>
        </w:rPr>
        <w:t>policy;</w:t>
      </w:r>
    </w:p>
    <w:p>
      <w:pPr>
        <w:pStyle w:val="Normal"/>
        <w:tabs>
          <w:tab w:val="clear" w:pos="708"/>
          <w:tab w:val="left" w:pos="1253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lang w:eastAsia="uk-UA" w:bidi="uk-UA"/>
        </w:rPr>
        <w:t>- речення з однорідними членами: Growth allowed economies to reduce pollution and be more sensitive to environmental</w:t>
      </w:r>
      <w:r>
        <w:rPr>
          <w:rFonts w:eastAsia="Times New Roman" w:ascii="Times New Roman" w:hAnsi="Times New Roman"/>
          <w:spacing w:val="-6"/>
          <w:sz w:val="28"/>
          <w:lang w:eastAsia="uk-UA" w:bidi="uk-UA"/>
        </w:rPr>
        <w:t xml:space="preserve"> </w:t>
      </w:r>
      <w:r>
        <w:rPr>
          <w:rFonts w:eastAsia="Times New Roman" w:ascii="Times New Roman" w:hAnsi="Times New Roman"/>
          <w:sz w:val="28"/>
          <w:lang w:eastAsia="uk-UA" w:bidi="uk-UA"/>
        </w:rPr>
        <w:t>consideration;</w:t>
      </w:r>
    </w:p>
    <w:p>
      <w:pPr>
        <w:pStyle w:val="Normal"/>
        <w:tabs>
          <w:tab w:val="clear" w:pos="708"/>
          <w:tab w:val="left" w:pos="125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highlight w:val="white"/>
          <w:lang w:val="uk-UA"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  <w:highlight w:val="white"/>
          <w:lang w:val="uk-UA" w:eastAsia="uk-UA" w:bidi="uk-UA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highlight w:val="white"/>
          <w:lang w:val="uk-UA" w:eastAsia="uk-UA" w:bidi="uk-UA"/>
        </w:rPr>
        <w:t xml:space="preserve">ввідні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val="uk-UA" w:eastAsia="uk-UA" w:bidi="uk-UA"/>
        </w:rPr>
        <w:t xml:space="preserve">або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highlight w:val="white"/>
          <w:lang w:val="uk-UA" w:eastAsia="uk-UA" w:bidi="uk-UA"/>
        </w:rPr>
        <w:t xml:space="preserve">з’єднувальні фрази: Initially,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val="uk-UA" w:eastAsia="uk-UA" w:bidi="uk-UA"/>
        </w:rPr>
        <w:t xml:space="preserve">As you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highlight w:val="white"/>
          <w:lang w:val="uk-UA" w:eastAsia="uk-UA" w:bidi="uk-UA"/>
        </w:rPr>
        <w:t xml:space="preserve">know, Actually,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val="uk-UA" w:eastAsia="uk-UA" w:bidi="uk-UA"/>
        </w:rPr>
        <w:t xml:space="preserve">The 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highlight w:val="white"/>
          <w:lang w:val="uk-UA" w:eastAsia="uk-UA" w:bidi="uk-UA"/>
        </w:rPr>
        <w:t>thing</w:t>
      </w:r>
      <w:r>
        <w:rPr>
          <w:rFonts w:eastAsia="Times New Roman" w:cs="Times New Roman" w:ascii="Times New Roman" w:hAnsi="Times New Roman"/>
          <w:b w:val="false"/>
          <w:bCs w:val="false"/>
          <w:spacing w:val="7"/>
          <w:sz w:val="28"/>
          <w:szCs w:val="28"/>
          <w:highlight w:val="white"/>
          <w:lang w:val="uk-UA" w:eastAsia="uk-UA" w:bidi="uk-U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pacing w:val="3"/>
          <w:sz w:val="28"/>
          <w:szCs w:val="28"/>
          <w:highlight w:val="white"/>
          <w:lang w:val="uk-UA" w:eastAsia="uk-UA" w:bidi="uk-UA"/>
        </w:rPr>
        <w:t>is.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b/>
          <w:sz w:val="28"/>
          <w:szCs w:val="28"/>
          <w:highlight w:val="white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f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ListLabel1">
    <w:name w:val="ListLabel 1"/>
    <w:qFormat/>
    <w:rPr>
      <w:rFonts w:ascii="Symbol" w:hAnsi="Symbol" w:eastAsia="Calibri" w:cs="Times New Roman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eastAsia="Times New Roman"/>
      <w:lang w:val="ru-RU"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Neat_Office/6.2.8.2$Windows_x86 LibreOffice_project/</Application>
  <Pages>2</Pages>
  <Words>448</Words>
  <Characters>3243</Characters>
  <CharactersWithSpaces>3662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2021-02-12T19:28:00Z</dcterms:created>
  <dc:creator>q</dc:creator>
  <dc:description/>
  <dc:language>en-US</dc:language>
  <cp:lastModifiedBy/>
  <dcterms:modified xsi:type="dcterms:W3CDTF">2022-12-14T17:32:54Z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