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C89" w:rsidRPr="00336B5E" w:rsidRDefault="00375C89" w:rsidP="00375C89">
      <w:pPr>
        <w:spacing w:line="276" w:lineRule="auto"/>
        <w:rPr>
          <w:szCs w:val="28"/>
          <w:lang w:val="uk-UA"/>
        </w:rPr>
      </w:pPr>
      <w:r w:rsidRPr="00336B5E">
        <w:rPr>
          <w:b/>
          <w:szCs w:val="28"/>
          <w:lang w:val="uk-UA"/>
        </w:rPr>
        <w:t>Лекція 3. Феномен політичної легітимності.</w:t>
      </w:r>
      <w:r w:rsidRPr="00336B5E">
        <w:rPr>
          <w:szCs w:val="28"/>
          <w:lang w:val="uk-UA"/>
        </w:rPr>
        <w:t xml:space="preserve"> </w:t>
      </w:r>
    </w:p>
    <w:p w:rsidR="00375C89" w:rsidRPr="00336B5E" w:rsidRDefault="00375C89" w:rsidP="00375C89">
      <w:pPr>
        <w:pStyle w:val="a3"/>
        <w:numPr>
          <w:ilvl w:val="0"/>
          <w:numId w:val="1"/>
        </w:numPr>
        <w:spacing w:line="276" w:lineRule="auto"/>
        <w:ind w:left="426"/>
        <w:rPr>
          <w:rFonts w:ascii="Times New Roman" w:hAnsi="Times New Roman" w:cs="Times New Roman"/>
          <w:szCs w:val="28"/>
          <w:lang w:val="uk-UA"/>
        </w:rPr>
      </w:pPr>
      <w:r w:rsidRPr="00336B5E">
        <w:rPr>
          <w:rFonts w:ascii="Times New Roman" w:hAnsi="Times New Roman" w:cs="Times New Roman"/>
          <w:szCs w:val="28"/>
          <w:lang w:val="uk-UA"/>
        </w:rPr>
        <w:t>Загальні підходи до визначення терміну «політична легітимність».</w:t>
      </w:r>
    </w:p>
    <w:p w:rsidR="00375C89" w:rsidRPr="00336B5E" w:rsidRDefault="00375C89" w:rsidP="00375C89">
      <w:pPr>
        <w:pStyle w:val="a3"/>
        <w:numPr>
          <w:ilvl w:val="0"/>
          <w:numId w:val="1"/>
        </w:numPr>
        <w:spacing w:line="276" w:lineRule="auto"/>
        <w:ind w:left="426"/>
        <w:rPr>
          <w:rFonts w:ascii="Times New Roman" w:hAnsi="Times New Roman" w:cs="Times New Roman"/>
          <w:szCs w:val="28"/>
          <w:lang w:val="uk-UA"/>
        </w:rPr>
      </w:pPr>
      <w:r w:rsidRPr="00336B5E">
        <w:rPr>
          <w:rFonts w:ascii="Times New Roman" w:hAnsi="Times New Roman" w:cs="Times New Roman"/>
          <w:szCs w:val="28"/>
          <w:lang w:val="uk-UA"/>
        </w:rPr>
        <w:t xml:space="preserve">Теоретичні дослідження з проблематики легітимності. </w:t>
      </w:r>
    </w:p>
    <w:p w:rsidR="00375C89" w:rsidRPr="00336B5E" w:rsidRDefault="00375C89" w:rsidP="00375C89">
      <w:pPr>
        <w:pStyle w:val="a3"/>
        <w:numPr>
          <w:ilvl w:val="0"/>
          <w:numId w:val="1"/>
        </w:numPr>
        <w:spacing w:line="276" w:lineRule="auto"/>
        <w:ind w:left="426"/>
        <w:rPr>
          <w:rFonts w:ascii="Times New Roman" w:hAnsi="Times New Roman" w:cs="Times New Roman"/>
          <w:szCs w:val="28"/>
          <w:lang w:val="uk-UA"/>
        </w:rPr>
      </w:pPr>
      <w:r w:rsidRPr="00336B5E">
        <w:rPr>
          <w:rFonts w:ascii="Times New Roman" w:hAnsi="Times New Roman" w:cs="Times New Roman"/>
          <w:szCs w:val="28"/>
          <w:lang w:val="uk-UA"/>
        </w:rPr>
        <w:t xml:space="preserve">Місце легітимності у сучасному політичному процесі. </w:t>
      </w:r>
    </w:p>
    <w:p w:rsidR="00375C89" w:rsidRPr="00336B5E" w:rsidRDefault="00375C89" w:rsidP="00375C89">
      <w:pPr>
        <w:pStyle w:val="a3"/>
        <w:numPr>
          <w:ilvl w:val="0"/>
          <w:numId w:val="1"/>
        </w:numPr>
        <w:spacing w:line="276" w:lineRule="auto"/>
        <w:ind w:left="426"/>
        <w:rPr>
          <w:rFonts w:ascii="Times New Roman" w:hAnsi="Times New Roman" w:cs="Times New Roman"/>
          <w:szCs w:val="28"/>
          <w:lang w:val="uk-UA"/>
        </w:rPr>
      </w:pPr>
      <w:r w:rsidRPr="00336B5E">
        <w:rPr>
          <w:rFonts w:ascii="Times New Roman" w:hAnsi="Times New Roman" w:cs="Times New Roman"/>
          <w:szCs w:val="28"/>
          <w:lang w:val="uk-UA"/>
        </w:rPr>
        <w:t xml:space="preserve">Актуальність дослідження легітимаційних процесів в сучасному світі. </w:t>
      </w:r>
    </w:p>
    <w:p w:rsidR="00375C89" w:rsidRDefault="00375C89" w:rsidP="00375C89">
      <w:pPr>
        <w:widowControl w:val="0"/>
        <w:spacing w:line="240" w:lineRule="auto"/>
        <w:ind w:firstLine="0"/>
        <w:jc w:val="center"/>
        <w:rPr>
          <w:b/>
          <w:szCs w:val="28"/>
          <w:lang w:val="uk-UA"/>
        </w:rPr>
      </w:pPr>
    </w:p>
    <w:p w:rsidR="00375C89" w:rsidRPr="006741D4" w:rsidRDefault="00375C89" w:rsidP="00375C89">
      <w:pPr>
        <w:widowControl w:val="0"/>
        <w:spacing w:line="240" w:lineRule="auto"/>
        <w:ind w:firstLine="0"/>
        <w:jc w:val="center"/>
        <w:rPr>
          <w:b/>
          <w:i/>
          <w:szCs w:val="28"/>
          <w:lang w:val="uk-UA"/>
        </w:rPr>
      </w:pPr>
      <w:r>
        <w:rPr>
          <w:b/>
          <w:szCs w:val="28"/>
          <w:lang w:val="uk-UA"/>
        </w:rPr>
        <w:t>Р</w:t>
      </w:r>
      <w:r w:rsidRPr="006741D4">
        <w:rPr>
          <w:b/>
          <w:szCs w:val="28"/>
          <w:lang w:val="uk-UA"/>
        </w:rPr>
        <w:t>екомендована література</w:t>
      </w:r>
      <w:r>
        <w:rPr>
          <w:b/>
          <w:szCs w:val="28"/>
          <w:lang w:val="uk-UA"/>
        </w:rPr>
        <w:t>:</w:t>
      </w:r>
    </w:p>
    <w:p w:rsidR="00375C89" w:rsidRPr="00A11270" w:rsidRDefault="00375C89" w:rsidP="00375C89">
      <w:pPr>
        <w:pStyle w:val="a3"/>
        <w:numPr>
          <w:ilvl w:val="0"/>
          <w:numId w:val="2"/>
        </w:numPr>
        <w:tabs>
          <w:tab w:val="clear" w:pos="709"/>
          <w:tab w:val="left" w:pos="567"/>
        </w:tabs>
        <w:spacing w:line="240" w:lineRule="auto"/>
        <w:rPr>
          <w:rFonts w:ascii="Times New Roman" w:hAnsi="Times New Roman" w:cs="Times New Roman"/>
          <w:szCs w:val="28"/>
          <w:lang w:val="uk-UA"/>
        </w:rPr>
      </w:pPr>
      <w:r w:rsidRPr="00A11270">
        <w:rPr>
          <w:rFonts w:ascii="Times New Roman" w:hAnsi="Times New Roman" w:cs="Times New Roman"/>
          <w:szCs w:val="28"/>
          <w:lang w:val="uk-UA"/>
        </w:rPr>
        <w:t>Бистрицький Є. Державотворення: шляхи легітимації. Українська державність у XX столітті. Київ: Політична думка, 1996. С. 320-323, 326–348. URL: http://bystrytsky.org/derzhukr.htm</w:t>
      </w:r>
    </w:p>
    <w:p w:rsidR="00375C89" w:rsidRPr="00A11270" w:rsidRDefault="00375C89" w:rsidP="00375C89">
      <w:pPr>
        <w:pStyle w:val="a3"/>
        <w:numPr>
          <w:ilvl w:val="0"/>
          <w:numId w:val="2"/>
        </w:numPr>
        <w:tabs>
          <w:tab w:val="clear" w:pos="709"/>
          <w:tab w:val="left" w:pos="567"/>
        </w:tabs>
        <w:spacing w:line="240" w:lineRule="auto"/>
        <w:rPr>
          <w:rFonts w:ascii="Times New Roman" w:hAnsi="Times New Roman" w:cs="Times New Roman"/>
          <w:szCs w:val="28"/>
          <w:lang w:val="uk-UA"/>
        </w:rPr>
      </w:pPr>
      <w:r w:rsidRPr="00A11270">
        <w:rPr>
          <w:rFonts w:ascii="Times New Roman" w:hAnsi="Times New Roman" w:cs="Times New Roman"/>
          <w:szCs w:val="28"/>
          <w:lang w:val="uk-UA"/>
        </w:rPr>
        <w:t>Бистрицький Є. Леґітимація як дієве філософське поняття. Філософська думка. 2009. № 5. С. 49-59.</w:t>
      </w:r>
    </w:p>
    <w:p w:rsidR="00375C89" w:rsidRPr="00A11270" w:rsidRDefault="00375C89" w:rsidP="00375C89">
      <w:pPr>
        <w:pStyle w:val="a3"/>
        <w:numPr>
          <w:ilvl w:val="0"/>
          <w:numId w:val="2"/>
        </w:numPr>
        <w:tabs>
          <w:tab w:val="clear" w:pos="709"/>
          <w:tab w:val="left" w:pos="567"/>
        </w:tabs>
        <w:spacing w:line="240" w:lineRule="auto"/>
        <w:rPr>
          <w:rFonts w:ascii="Times New Roman" w:hAnsi="Times New Roman" w:cs="Times New Roman"/>
          <w:szCs w:val="28"/>
          <w:lang w:val="uk-UA"/>
        </w:rPr>
      </w:pPr>
      <w:r w:rsidRPr="00A11270">
        <w:rPr>
          <w:rFonts w:ascii="Times New Roman" w:hAnsi="Times New Roman" w:cs="Times New Roman"/>
          <w:szCs w:val="28"/>
          <w:lang w:val="uk-UA"/>
        </w:rPr>
        <w:t xml:space="preserve">Бистрицький Є. Проблема леґітимації.  Українська державність у ХХ столітті: Історико-політологічний аналіз / </w:t>
      </w:r>
      <w:proofErr w:type="spellStart"/>
      <w:r w:rsidRPr="00A11270">
        <w:rPr>
          <w:rFonts w:ascii="Times New Roman" w:hAnsi="Times New Roman" w:cs="Times New Roman"/>
          <w:szCs w:val="28"/>
          <w:lang w:val="uk-UA"/>
        </w:rPr>
        <w:t>О.Дергачев</w:t>
      </w:r>
      <w:proofErr w:type="spellEnd"/>
      <w:r w:rsidRPr="00A11270">
        <w:rPr>
          <w:rFonts w:ascii="Times New Roman" w:hAnsi="Times New Roman" w:cs="Times New Roman"/>
          <w:szCs w:val="28"/>
          <w:lang w:val="uk-UA"/>
        </w:rPr>
        <w:t xml:space="preserve"> (керівник </w:t>
      </w:r>
      <w:proofErr w:type="spellStart"/>
      <w:r w:rsidRPr="00A11270">
        <w:rPr>
          <w:rFonts w:ascii="Times New Roman" w:hAnsi="Times New Roman" w:cs="Times New Roman"/>
          <w:szCs w:val="28"/>
          <w:lang w:val="uk-UA"/>
        </w:rPr>
        <w:t>авт</w:t>
      </w:r>
      <w:proofErr w:type="spellEnd"/>
      <w:r w:rsidRPr="00A11270">
        <w:rPr>
          <w:rFonts w:ascii="Times New Roman" w:hAnsi="Times New Roman" w:cs="Times New Roman"/>
          <w:szCs w:val="28"/>
          <w:lang w:val="uk-UA"/>
        </w:rPr>
        <w:t>. колективу). Київ: Політична думка, 1996. URL: http://litopys.org.ua/ukrxx/r17.htm</w:t>
      </w:r>
    </w:p>
    <w:p w:rsidR="00375C89" w:rsidRPr="00A11270" w:rsidRDefault="00375C89" w:rsidP="00375C89">
      <w:pPr>
        <w:pStyle w:val="a6"/>
        <w:numPr>
          <w:ilvl w:val="0"/>
          <w:numId w:val="2"/>
        </w:numPr>
        <w:tabs>
          <w:tab w:val="clear" w:pos="709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A11270">
        <w:rPr>
          <w:color w:val="000000"/>
          <w:sz w:val="28"/>
          <w:szCs w:val="28"/>
        </w:rPr>
        <w:t>Баумейстер</w:t>
      </w:r>
      <w:proofErr w:type="spellEnd"/>
      <w:r w:rsidRPr="00A11270">
        <w:rPr>
          <w:color w:val="000000"/>
          <w:sz w:val="28"/>
          <w:szCs w:val="28"/>
        </w:rPr>
        <w:t xml:space="preserve"> А</w:t>
      </w:r>
      <w:r w:rsidRPr="00A11270">
        <w:rPr>
          <w:iCs/>
          <w:color w:val="000000"/>
          <w:sz w:val="28"/>
          <w:szCs w:val="28"/>
        </w:rPr>
        <w:t>.</w:t>
      </w:r>
      <w:r w:rsidRPr="00A11270">
        <w:rPr>
          <w:color w:val="000000"/>
          <w:sz w:val="28"/>
          <w:szCs w:val="28"/>
        </w:rPr>
        <w:t xml:space="preserve"> Апорії модерної теорії леґітимації. </w:t>
      </w:r>
      <w:r w:rsidRPr="00A11270">
        <w:rPr>
          <w:iCs/>
          <w:color w:val="000000"/>
          <w:sz w:val="28"/>
          <w:szCs w:val="28"/>
        </w:rPr>
        <w:t>Філософська думка</w:t>
      </w:r>
      <w:r w:rsidRPr="00A11270">
        <w:rPr>
          <w:color w:val="000000"/>
          <w:sz w:val="28"/>
          <w:szCs w:val="28"/>
        </w:rPr>
        <w:t>. 2009 № 5. С.22-33.</w:t>
      </w:r>
    </w:p>
    <w:p w:rsidR="00375C89" w:rsidRPr="00A11270" w:rsidRDefault="00375C89" w:rsidP="00375C89">
      <w:pPr>
        <w:pStyle w:val="a6"/>
        <w:numPr>
          <w:ilvl w:val="0"/>
          <w:numId w:val="2"/>
        </w:numPr>
        <w:tabs>
          <w:tab w:val="clear" w:pos="709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A11270">
        <w:rPr>
          <w:color w:val="000000"/>
          <w:sz w:val="28"/>
          <w:szCs w:val="28"/>
        </w:rPr>
        <w:t>Габермас</w:t>
      </w:r>
      <w:proofErr w:type="spellEnd"/>
      <w:r w:rsidRPr="00A11270">
        <w:rPr>
          <w:color w:val="000000"/>
          <w:sz w:val="28"/>
          <w:szCs w:val="28"/>
        </w:rPr>
        <w:t xml:space="preserve"> Ю. Структурні перетворення у сфері відкритості: дослідження категорії громадянське суспільство. Львів: Літопис, 2000. 318 с.</w:t>
      </w:r>
    </w:p>
    <w:p w:rsidR="00375C89" w:rsidRPr="00A11270" w:rsidRDefault="00375C89" w:rsidP="00375C89">
      <w:pPr>
        <w:pStyle w:val="a6"/>
        <w:numPr>
          <w:ilvl w:val="0"/>
          <w:numId w:val="2"/>
        </w:numPr>
        <w:tabs>
          <w:tab w:val="clear" w:pos="709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A11270">
        <w:rPr>
          <w:color w:val="000000"/>
          <w:sz w:val="28"/>
          <w:szCs w:val="28"/>
        </w:rPr>
        <w:t>Габермас</w:t>
      </w:r>
      <w:proofErr w:type="spellEnd"/>
      <w:r w:rsidRPr="00A11270">
        <w:rPr>
          <w:color w:val="000000"/>
          <w:sz w:val="28"/>
          <w:szCs w:val="28"/>
        </w:rPr>
        <w:t xml:space="preserve"> Ю. Три нормативні моделі демократії. </w:t>
      </w:r>
      <w:r w:rsidRPr="00A11270">
        <w:rPr>
          <w:iCs/>
          <w:color w:val="000000"/>
          <w:sz w:val="28"/>
          <w:szCs w:val="28"/>
        </w:rPr>
        <w:t>Демократія: Антологія /</w:t>
      </w:r>
      <w:r w:rsidRPr="00A11270">
        <w:rPr>
          <w:color w:val="000000"/>
          <w:sz w:val="28"/>
          <w:szCs w:val="28"/>
        </w:rPr>
        <w:t xml:space="preserve"> </w:t>
      </w:r>
      <w:proofErr w:type="spellStart"/>
      <w:r w:rsidRPr="00A11270">
        <w:rPr>
          <w:color w:val="000000"/>
          <w:sz w:val="28"/>
          <w:szCs w:val="28"/>
        </w:rPr>
        <w:t>упоряд</w:t>
      </w:r>
      <w:proofErr w:type="spellEnd"/>
      <w:r w:rsidRPr="00A11270">
        <w:rPr>
          <w:color w:val="000000"/>
          <w:sz w:val="28"/>
          <w:szCs w:val="28"/>
        </w:rPr>
        <w:t>. О. Проценко. Київ: Смолоскип, 2005. С. 364-371.</w:t>
      </w:r>
    </w:p>
    <w:p w:rsidR="00375C89" w:rsidRPr="00A11270" w:rsidRDefault="00375C89" w:rsidP="00375C89">
      <w:pPr>
        <w:pStyle w:val="a4"/>
        <w:widowControl w:val="0"/>
        <w:numPr>
          <w:ilvl w:val="0"/>
          <w:numId w:val="2"/>
        </w:numPr>
        <w:tabs>
          <w:tab w:val="clear" w:pos="709"/>
          <w:tab w:val="left" w:pos="567"/>
        </w:tabs>
        <w:suppressAutoHyphens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11270">
        <w:rPr>
          <w:rFonts w:ascii="Times New Roman" w:hAnsi="Times New Roman" w:cs="Times New Roman"/>
          <w:sz w:val="28"/>
          <w:szCs w:val="28"/>
          <w:lang w:val="uk-UA"/>
        </w:rPr>
        <w:t>Рябов</w:t>
      </w:r>
      <w:proofErr w:type="spellEnd"/>
      <w:r w:rsidRPr="00A11270">
        <w:rPr>
          <w:rFonts w:ascii="Times New Roman" w:hAnsi="Times New Roman" w:cs="Times New Roman"/>
          <w:sz w:val="28"/>
          <w:szCs w:val="28"/>
          <w:lang w:val="uk-UA"/>
        </w:rPr>
        <w:t xml:space="preserve"> С.Г. Державна влада: проблема авторитету та легітимності. Київ : Національний інститут стратегічних досліджень, 1996. 117 с.</w:t>
      </w:r>
    </w:p>
    <w:p w:rsidR="00375C89" w:rsidRPr="00A11270" w:rsidRDefault="00375C89" w:rsidP="00375C89">
      <w:pPr>
        <w:pStyle w:val="a6"/>
        <w:numPr>
          <w:ilvl w:val="0"/>
          <w:numId w:val="2"/>
        </w:numPr>
        <w:tabs>
          <w:tab w:val="clear" w:pos="709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A11270">
        <w:rPr>
          <w:color w:val="000000"/>
          <w:sz w:val="28"/>
          <w:szCs w:val="28"/>
        </w:rPr>
        <w:t xml:space="preserve">Яковлева Л.І. Тероризм як сучасний виклик легітимності влади. </w:t>
      </w:r>
      <w:r w:rsidRPr="00A11270">
        <w:rPr>
          <w:iCs/>
          <w:color w:val="000000"/>
          <w:sz w:val="28"/>
          <w:szCs w:val="28"/>
        </w:rPr>
        <w:t xml:space="preserve">Вісник </w:t>
      </w:r>
      <w:proofErr w:type="spellStart"/>
      <w:r w:rsidRPr="00A11270">
        <w:rPr>
          <w:iCs/>
          <w:color w:val="000000"/>
          <w:sz w:val="28"/>
          <w:szCs w:val="28"/>
        </w:rPr>
        <w:t>СевНТУ</w:t>
      </w:r>
      <w:proofErr w:type="spellEnd"/>
      <w:r w:rsidRPr="00A11270">
        <w:rPr>
          <w:iCs/>
          <w:color w:val="000000"/>
          <w:sz w:val="28"/>
          <w:szCs w:val="28"/>
        </w:rPr>
        <w:t xml:space="preserve">: </w:t>
      </w:r>
      <w:proofErr w:type="spellStart"/>
      <w:r w:rsidRPr="00A11270">
        <w:rPr>
          <w:iCs/>
          <w:color w:val="000000"/>
          <w:sz w:val="28"/>
          <w:szCs w:val="28"/>
        </w:rPr>
        <w:t>зб</w:t>
      </w:r>
      <w:proofErr w:type="spellEnd"/>
      <w:r w:rsidRPr="00A11270">
        <w:rPr>
          <w:iCs/>
          <w:color w:val="000000"/>
          <w:sz w:val="28"/>
          <w:szCs w:val="28"/>
        </w:rPr>
        <w:t>. наук. пр.: Серія: політологія.</w:t>
      </w:r>
      <w:r w:rsidRPr="00A11270">
        <w:rPr>
          <w:color w:val="000000"/>
          <w:sz w:val="28"/>
          <w:szCs w:val="28"/>
        </w:rPr>
        <w:t xml:space="preserve"> 2013. Випуск 145</w:t>
      </w:r>
      <w:r w:rsidRPr="00A11270">
        <w:rPr>
          <w:iCs/>
          <w:color w:val="000000"/>
          <w:sz w:val="28"/>
          <w:szCs w:val="28"/>
        </w:rPr>
        <w:t>.</w:t>
      </w:r>
      <w:r w:rsidRPr="00A11270">
        <w:rPr>
          <w:color w:val="000000"/>
          <w:sz w:val="28"/>
          <w:szCs w:val="28"/>
        </w:rPr>
        <w:t xml:space="preserve"> С. 77-80.</w:t>
      </w:r>
    </w:p>
    <w:p w:rsidR="00375C89" w:rsidRPr="00A11270" w:rsidRDefault="00375C89" w:rsidP="00375C89">
      <w:pPr>
        <w:pStyle w:val="a6"/>
        <w:numPr>
          <w:ilvl w:val="0"/>
          <w:numId w:val="2"/>
        </w:numPr>
        <w:tabs>
          <w:tab w:val="clear" w:pos="709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A11270">
        <w:rPr>
          <w:color w:val="000000"/>
          <w:sz w:val="28"/>
          <w:szCs w:val="28"/>
        </w:rPr>
        <w:t>Яковлева Л.І. Легітимність акторів публічного управління: теоретичні підходи та практичний вимір. </w:t>
      </w:r>
      <w:r w:rsidRPr="00A11270">
        <w:rPr>
          <w:iCs/>
          <w:color w:val="000000"/>
          <w:sz w:val="28"/>
          <w:szCs w:val="28"/>
        </w:rPr>
        <w:t>Перспективи: Соціально-політичний журнал</w:t>
      </w:r>
      <w:r w:rsidRPr="00A11270">
        <w:rPr>
          <w:color w:val="000000"/>
          <w:sz w:val="28"/>
          <w:szCs w:val="28"/>
        </w:rPr>
        <w:t>. 2013. № 2(56). С.133-137.</w:t>
      </w:r>
    </w:p>
    <w:p w:rsidR="00375C89" w:rsidRPr="00A11270" w:rsidRDefault="00375C89" w:rsidP="00375C89">
      <w:pPr>
        <w:pStyle w:val="a3"/>
        <w:numPr>
          <w:ilvl w:val="0"/>
          <w:numId w:val="2"/>
        </w:numPr>
        <w:tabs>
          <w:tab w:val="clear" w:pos="709"/>
        </w:tabs>
        <w:spacing w:after="200" w:line="276" w:lineRule="auto"/>
        <w:jc w:val="left"/>
        <w:rPr>
          <w:rFonts w:ascii="Times New Roman" w:hAnsi="Times New Roman" w:cs="Times New Roman"/>
          <w:szCs w:val="28"/>
          <w:lang w:val="uk-UA"/>
        </w:rPr>
      </w:pPr>
      <w:r w:rsidRPr="00A11270">
        <w:rPr>
          <w:rFonts w:ascii="Times New Roman" w:hAnsi="Times New Roman" w:cs="Times New Roman"/>
          <w:color w:val="000000"/>
          <w:szCs w:val="28"/>
        </w:rPr>
        <w:t xml:space="preserve">Яковлева Л.І. Феномен </w:t>
      </w:r>
      <w:proofErr w:type="spellStart"/>
      <w:r w:rsidRPr="00A11270">
        <w:rPr>
          <w:rFonts w:ascii="Times New Roman" w:hAnsi="Times New Roman" w:cs="Times New Roman"/>
          <w:color w:val="000000"/>
          <w:szCs w:val="28"/>
        </w:rPr>
        <w:t>легітимності</w:t>
      </w:r>
      <w:proofErr w:type="spellEnd"/>
      <w:r w:rsidRPr="00A11270">
        <w:rPr>
          <w:rFonts w:ascii="Times New Roman" w:hAnsi="Times New Roman" w:cs="Times New Roman"/>
          <w:color w:val="000000"/>
          <w:szCs w:val="28"/>
        </w:rPr>
        <w:t xml:space="preserve"> </w:t>
      </w:r>
      <w:proofErr w:type="spellStart"/>
      <w:r w:rsidRPr="00A11270">
        <w:rPr>
          <w:rFonts w:ascii="Times New Roman" w:hAnsi="Times New Roman" w:cs="Times New Roman"/>
          <w:color w:val="000000"/>
          <w:szCs w:val="28"/>
        </w:rPr>
        <w:t>політичної</w:t>
      </w:r>
      <w:proofErr w:type="spellEnd"/>
      <w:r w:rsidRPr="00A11270">
        <w:rPr>
          <w:rFonts w:ascii="Times New Roman" w:hAnsi="Times New Roman" w:cs="Times New Roman"/>
          <w:color w:val="000000"/>
          <w:szCs w:val="28"/>
        </w:rPr>
        <w:t xml:space="preserve"> </w:t>
      </w:r>
      <w:proofErr w:type="spellStart"/>
      <w:r w:rsidRPr="00A11270">
        <w:rPr>
          <w:rFonts w:ascii="Times New Roman" w:hAnsi="Times New Roman" w:cs="Times New Roman"/>
          <w:color w:val="000000"/>
          <w:szCs w:val="28"/>
        </w:rPr>
        <w:t>влади</w:t>
      </w:r>
      <w:proofErr w:type="spellEnd"/>
      <w:r w:rsidRPr="00A11270">
        <w:rPr>
          <w:rFonts w:ascii="Times New Roman" w:hAnsi="Times New Roman" w:cs="Times New Roman"/>
          <w:color w:val="000000"/>
          <w:szCs w:val="28"/>
        </w:rPr>
        <w:t xml:space="preserve"> в </w:t>
      </w:r>
      <w:proofErr w:type="spellStart"/>
      <w:r w:rsidRPr="00A11270">
        <w:rPr>
          <w:rFonts w:ascii="Times New Roman" w:hAnsi="Times New Roman" w:cs="Times New Roman"/>
          <w:color w:val="000000"/>
          <w:szCs w:val="28"/>
        </w:rPr>
        <w:t>інформаційну</w:t>
      </w:r>
      <w:proofErr w:type="spellEnd"/>
      <w:r w:rsidRPr="00A11270">
        <w:rPr>
          <w:rFonts w:ascii="Times New Roman" w:hAnsi="Times New Roman" w:cs="Times New Roman"/>
          <w:color w:val="000000"/>
          <w:szCs w:val="28"/>
        </w:rPr>
        <w:t xml:space="preserve"> </w:t>
      </w:r>
      <w:proofErr w:type="spellStart"/>
      <w:r w:rsidRPr="00A11270">
        <w:rPr>
          <w:rFonts w:ascii="Times New Roman" w:hAnsi="Times New Roman" w:cs="Times New Roman"/>
          <w:color w:val="000000"/>
          <w:szCs w:val="28"/>
        </w:rPr>
        <w:t>епоху</w:t>
      </w:r>
      <w:proofErr w:type="spellEnd"/>
      <w:r w:rsidRPr="00A11270">
        <w:rPr>
          <w:rFonts w:ascii="Times New Roman" w:hAnsi="Times New Roman" w:cs="Times New Roman"/>
          <w:color w:val="000000"/>
          <w:szCs w:val="28"/>
        </w:rPr>
        <w:t xml:space="preserve">. </w:t>
      </w:r>
      <w:r w:rsidRPr="00A11270">
        <w:rPr>
          <w:rFonts w:ascii="Times New Roman" w:hAnsi="Times New Roman" w:cs="Times New Roman"/>
          <w:iCs/>
          <w:color w:val="000000"/>
          <w:szCs w:val="28"/>
        </w:rPr>
        <w:t xml:space="preserve">S.P.A.C.E. </w:t>
      </w:r>
      <w:proofErr w:type="spellStart"/>
      <w:r w:rsidRPr="00A11270">
        <w:rPr>
          <w:rFonts w:ascii="Times New Roman" w:hAnsi="Times New Roman" w:cs="Times New Roman"/>
          <w:iCs/>
          <w:color w:val="000000"/>
          <w:szCs w:val="28"/>
        </w:rPr>
        <w:t>Society</w:t>
      </w:r>
      <w:proofErr w:type="spellEnd"/>
      <w:r w:rsidRPr="00A11270">
        <w:rPr>
          <w:rFonts w:ascii="Times New Roman" w:hAnsi="Times New Roman" w:cs="Times New Roman"/>
          <w:iCs/>
          <w:color w:val="000000"/>
          <w:szCs w:val="28"/>
        </w:rPr>
        <w:t xml:space="preserve">, </w:t>
      </w:r>
      <w:proofErr w:type="spellStart"/>
      <w:r w:rsidRPr="00A11270">
        <w:rPr>
          <w:rFonts w:ascii="Times New Roman" w:hAnsi="Times New Roman" w:cs="Times New Roman"/>
          <w:iCs/>
          <w:color w:val="000000"/>
          <w:szCs w:val="28"/>
        </w:rPr>
        <w:t>Politics</w:t>
      </w:r>
      <w:proofErr w:type="spellEnd"/>
      <w:r w:rsidRPr="00A11270">
        <w:rPr>
          <w:rFonts w:ascii="Times New Roman" w:hAnsi="Times New Roman" w:cs="Times New Roman"/>
          <w:iCs/>
          <w:color w:val="000000"/>
          <w:szCs w:val="28"/>
        </w:rPr>
        <w:t xml:space="preserve">, </w:t>
      </w:r>
      <w:proofErr w:type="spellStart"/>
      <w:r w:rsidRPr="00A11270">
        <w:rPr>
          <w:rFonts w:ascii="Times New Roman" w:hAnsi="Times New Roman" w:cs="Times New Roman"/>
          <w:iCs/>
          <w:color w:val="000000"/>
          <w:szCs w:val="28"/>
        </w:rPr>
        <w:t>Administration</w:t>
      </w:r>
      <w:proofErr w:type="spellEnd"/>
      <w:r w:rsidRPr="00A11270">
        <w:rPr>
          <w:rFonts w:ascii="Times New Roman" w:hAnsi="Times New Roman" w:cs="Times New Roman"/>
          <w:iCs/>
          <w:color w:val="000000"/>
          <w:szCs w:val="28"/>
        </w:rPr>
        <w:t> </w:t>
      </w:r>
      <w:proofErr w:type="spellStart"/>
      <w:r w:rsidRPr="00A11270">
        <w:rPr>
          <w:rFonts w:ascii="Times New Roman" w:hAnsi="Times New Roman" w:cs="Times New Roman"/>
          <w:iCs/>
          <w:color w:val="000000"/>
          <w:szCs w:val="28"/>
        </w:rPr>
        <w:t>in</w:t>
      </w:r>
      <w:proofErr w:type="spellEnd"/>
      <w:r w:rsidRPr="00A11270">
        <w:rPr>
          <w:rFonts w:ascii="Times New Roman" w:hAnsi="Times New Roman" w:cs="Times New Roman"/>
          <w:iCs/>
          <w:color w:val="000000"/>
          <w:szCs w:val="28"/>
        </w:rPr>
        <w:t xml:space="preserve"> </w:t>
      </w:r>
      <w:proofErr w:type="spellStart"/>
      <w:r w:rsidRPr="00A11270">
        <w:rPr>
          <w:rFonts w:ascii="Times New Roman" w:hAnsi="Times New Roman" w:cs="Times New Roman"/>
          <w:iCs/>
          <w:color w:val="000000"/>
          <w:szCs w:val="28"/>
        </w:rPr>
        <w:t>Central</w:t>
      </w:r>
      <w:proofErr w:type="spellEnd"/>
      <w:r w:rsidRPr="00A11270">
        <w:rPr>
          <w:rFonts w:ascii="Times New Roman" w:hAnsi="Times New Roman" w:cs="Times New Roman"/>
          <w:iCs/>
          <w:color w:val="000000"/>
          <w:szCs w:val="28"/>
        </w:rPr>
        <w:t xml:space="preserve"> </w:t>
      </w:r>
      <w:proofErr w:type="spellStart"/>
      <w:r w:rsidRPr="00A11270">
        <w:rPr>
          <w:rFonts w:ascii="Times New Roman" w:hAnsi="Times New Roman" w:cs="Times New Roman"/>
          <w:iCs/>
          <w:color w:val="000000"/>
          <w:szCs w:val="28"/>
        </w:rPr>
        <w:t>Europe</w:t>
      </w:r>
      <w:proofErr w:type="spellEnd"/>
      <w:r w:rsidRPr="00A11270">
        <w:rPr>
          <w:rFonts w:ascii="Times New Roman" w:hAnsi="Times New Roman" w:cs="Times New Roman"/>
          <w:iCs/>
          <w:color w:val="000000"/>
          <w:szCs w:val="28"/>
        </w:rPr>
        <w:t xml:space="preserve">: </w:t>
      </w:r>
      <w:proofErr w:type="spellStart"/>
      <w:r w:rsidRPr="00A11270">
        <w:rPr>
          <w:rFonts w:ascii="Times New Roman" w:hAnsi="Times New Roman" w:cs="Times New Roman"/>
          <w:iCs/>
          <w:color w:val="000000"/>
          <w:szCs w:val="28"/>
        </w:rPr>
        <w:t>електронний</w:t>
      </w:r>
      <w:proofErr w:type="spellEnd"/>
      <w:r w:rsidRPr="00A11270">
        <w:rPr>
          <w:rFonts w:ascii="Times New Roman" w:hAnsi="Times New Roman" w:cs="Times New Roman"/>
          <w:iCs/>
          <w:color w:val="000000"/>
          <w:szCs w:val="28"/>
        </w:rPr>
        <w:t> </w:t>
      </w:r>
      <w:proofErr w:type="spellStart"/>
      <w:r w:rsidRPr="00A11270">
        <w:rPr>
          <w:rFonts w:ascii="Times New Roman" w:hAnsi="Times New Roman" w:cs="Times New Roman"/>
          <w:iCs/>
          <w:color w:val="000000"/>
          <w:szCs w:val="28"/>
        </w:rPr>
        <w:t>науково-практичний</w:t>
      </w:r>
      <w:proofErr w:type="spellEnd"/>
      <w:r w:rsidRPr="00A11270">
        <w:rPr>
          <w:rFonts w:ascii="Times New Roman" w:hAnsi="Times New Roman" w:cs="Times New Roman"/>
          <w:iCs/>
          <w:color w:val="000000"/>
          <w:szCs w:val="28"/>
        </w:rPr>
        <w:t> журнал</w:t>
      </w:r>
      <w:r w:rsidRPr="00A11270">
        <w:rPr>
          <w:rFonts w:ascii="Times New Roman" w:hAnsi="Times New Roman" w:cs="Times New Roman"/>
          <w:color w:val="000000"/>
          <w:szCs w:val="28"/>
        </w:rPr>
        <w:t xml:space="preserve">. 2017. </w:t>
      </w:r>
      <w:proofErr w:type="spellStart"/>
      <w:r w:rsidRPr="00A11270">
        <w:rPr>
          <w:rFonts w:ascii="Times New Roman" w:hAnsi="Times New Roman" w:cs="Times New Roman"/>
          <w:color w:val="000000"/>
          <w:szCs w:val="28"/>
        </w:rPr>
        <w:t>Випуск</w:t>
      </w:r>
      <w:proofErr w:type="spellEnd"/>
      <w:r w:rsidRPr="00A11270">
        <w:rPr>
          <w:rFonts w:ascii="Times New Roman" w:hAnsi="Times New Roman" w:cs="Times New Roman"/>
          <w:color w:val="000000"/>
          <w:szCs w:val="28"/>
        </w:rPr>
        <w:t xml:space="preserve"> 2. С. 63-67.</w:t>
      </w:r>
    </w:p>
    <w:p w:rsidR="004C2B1E" w:rsidRPr="00375C89" w:rsidRDefault="004C2B1E" w:rsidP="00375C89">
      <w:pPr>
        <w:tabs>
          <w:tab w:val="clear" w:pos="709"/>
        </w:tabs>
        <w:spacing w:after="200" w:line="276" w:lineRule="auto"/>
        <w:ind w:firstLine="0"/>
        <w:jc w:val="left"/>
        <w:rPr>
          <w:b/>
          <w:i/>
          <w:szCs w:val="28"/>
          <w:lang w:val="uk-UA"/>
        </w:rPr>
      </w:pPr>
      <w:bookmarkStart w:id="0" w:name="_GoBack"/>
      <w:bookmarkEnd w:id="0"/>
    </w:p>
    <w:sectPr w:rsidR="004C2B1E" w:rsidRPr="00375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50F37"/>
    <w:multiLevelType w:val="hybridMultilevel"/>
    <w:tmpl w:val="A84AB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B0F78"/>
    <w:multiLevelType w:val="hybridMultilevel"/>
    <w:tmpl w:val="4F5858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C89"/>
    <w:rsid w:val="00375C89"/>
    <w:rsid w:val="004C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C89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75C89"/>
    <w:pPr>
      <w:suppressAutoHyphens/>
      <w:ind w:left="720"/>
      <w:contextualSpacing/>
    </w:pPr>
    <w:rPr>
      <w:rFonts w:ascii="Calibri" w:eastAsia="Droid Sans Fallback" w:hAnsi="Calibri" w:cs="Calibri"/>
    </w:rPr>
  </w:style>
  <w:style w:type="paragraph" w:styleId="a4">
    <w:name w:val="endnote text"/>
    <w:basedOn w:val="a"/>
    <w:link w:val="a5"/>
    <w:unhideWhenUsed/>
    <w:rsid w:val="00375C89"/>
    <w:pPr>
      <w:suppressAutoHyphens/>
      <w:spacing w:line="240" w:lineRule="auto"/>
      <w:ind w:firstLine="0"/>
      <w:jc w:val="left"/>
    </w:pPr>
    <w:rPr>
      <w:rFonts w:ascii="Calibri" w:eastAsia="Droid Sans Fallback" w:hAnsi="Calibri" w:cs="Calibri"/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375C89"/>
    <w:rPr>
      <w:rFonts w:ascii="Calibri" w:eastAsia="Droid Sans Fallback" w:hAnsi="Calibri" w:cs="Calibri"/>
      <w:sz w:val="20"/>
      <w:szCs w:val="20"/>
    </w:rPr>
  </w:style>
  <w:style w:type="paragraph" w:styleId="a6">
    <w:name w:val="Normal (Web)"/>
    <w:aliases w:val="Обычный (Web)"/>
    <w:basedOn w:val="a"/>
    <w:uiPriority w:val="99"/>
    <w:unhideWhenUsed/>
    <w:rsid w:val="00375C89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C89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75C89"/>
    <w:pPr>
      <w:suppressAutoHyphens/>
      <w:ind w:left="720"/>
      <w:contextualSpacing/>
    </w:pPr>
    <w:rPr>
      <w:rFonts w:ascii="Calibri" w:eastAsia="Droid Sans Fallback" w:hAnsi="Calibri" w:cs="Calibri"/>
    </w:rPr>
  </w:style>
  <w:style w:type="paragraph" w:styleId="a4">
    <w:name w:val="endnote text"/>
    <w:basedOn w:val="a"/>
    <w:link w:val="a5"/>
    <w:unhideWhenUsed/>
    <w:rsid w:val="00375C89"/>
    <w:pPr>
      <w:suppressAutoHyphens/>
      <w:spacing w:line="240" w:lineRule="auto"/>
      <w:ind w:firstLine="0"/>
      <w:jc w:val="left"/>
    </w:pPr>
    <w:rPr>
      <w:rFonts w:ascii="Calibri" w:eastAsia="Droid Sans Fallback" w:hAnsi="Calibri" w:cs="Calibri"/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375C89"/>
    <w:rPr>
      <w:rFonts w:ascii="Calibri" w:eastAsia="Droid Sans Fallback" w:hAnsi="Calibri" w:cs="Calibri"/>
      <w:sz w:val="20"/>
      <w:szCs w:val="20"/>
    </w:rPr>
  </w:style>
  <w:style w:type="paragraph" w:styleId="a6">
    <w:name w:val="Normal (Web)"/>
    <w:aliases w:val="Обычный (Web)"/>
    <w:basedOn w:val="a"/>
    <w:uiPriority w:val="99"/>
    <w:unhideWhenUsed/>
    <w:rsid w:val="00375C89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2023-01-23T08:11:00Z</dcterms:created>
  <dcterms:modified xsi:type="dcterms:W3CDTF">2023-01-23T08:12:00Z</dcterms:modified>
</cp:coreProperties>
</file>