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D1" w:rsidRPr="00295EFD" w:rsidRDefault="00EF7AD1" w:rsidP="00EF7AD1">
      <w:pPr>
        <w:pStyle w:val="a4"/>
        <w:tabs>
          <w:tab w:val="left" w:pos="36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295EFD">
        <w:rPr>
          <w:b/>
          <w:sz w:val="28"/>
          <w:szCs w:val="28"/>
          <w:lang w:val="uk-UA"/>
        </w:rPr>
        <w:t>Лекція 7. Моделі форм правління та проблематика легітимності.</w:t>
      </w:r>
    </w:p>
    <w:p w:rsidR="00EF7AD1" w:rsidRPr="00295EFD" w:rsidRDefault="00EF7AD1" w:rsidP="00EF7AD1">
      <w:pPr>
        <w:pStyle w:val="a4"/>
        <w:numPr>
          <w:ilvl w:val="0"/>
          <w:numId w:val="2"/>
        </w:numPr>
        <w:tabs>
          <w:tab w:val="clear" w:pos="709"/>
          <w:tab w:val="left" w:pos="284"/>
          <w:tab w:val="left" w:pos="360"/>
        </w:tabs>
        <w:spacing w:after="0" w:line="276" w:lineRule="auto"/>
        <w:ind w:left="284"/>
        <w:jc w:val="both"/>
        <w:rPr>
          <w:sz w:val="28"/>
          <w:szCs w:val="28"/>
          <w:lang w:val="uk-UA"/>
        </w:rPr>
      </w:pPr>
      <w:r w:rsidRPr="00295EFD">
        <w:rPr>
          <w:sz w:val="28"/>
          <w:szCs w:val="28"/>
          <w:lang w:val="uk-UA"/>
        </w:rPr>
        <w:t xml:space="preserve">Поняття і види форм правління в контексті легітимності. </w:t>
      </w:r>
    </w:p>
    <w:p w:rsidR="00EF7AD1" w:rsidRPr="00295EFD" w:rsidRDefault="00EF7AD1" w:rsidP="00EF7AD1">
      <w:pPr>
        <w:pStyle w:val="a4"/>
        <w:numPr>
          <w:ilvl w:val="0"/>
          <w:numId w:val="2"/>
        </w:numPr>
        <w:tabs>
          <w:tab w:val="clear" w:pos="709"/>
          <w:tab w:val="left" w:pos="284"/>
          <w:tab w:val="left" w:pos="360"/>
        </w:tabs>
        <w:spacing w:after="0" w:line="276" w:lineRule="auto"/>
        <w:ind w:left="284"/>
        <w:jc w:val="both"/>
        <w:rPr>
          <w:sz w:val="28"/>
          <w:szCs w:val="28"/>
          <w:lang w:val="uk-UA"/>
        </w:rPr>
      </w:pPr>
      <w:r w:rsidRPr="00295EFD">
        <w:rPr>
          <w:sz w:val="28"/>
          <w:szCs w:val="28"/>
          <w:lang w:val="uk-UA"/>
        </w:rPr>
        <w:t xml:space="preserve">Порівняльний аналіз легітимаційного потенціалу президентської, президентсько - парламентської систем. </w:t>
      </w:r>
    </w:p>
    <w:p w:rsidR="00EF7AD1" w:rsidRPr="00295EFD" w:rsidRDefault="00EF7AD1" w:rsidP="00EF7AD1">
      <w:pPr>
        <w:pStyle w:val="a4"/>
        <w:numPr>
          <w:ilvl w:val="0"/>
          <w:numId w:val="2"/>
        </w:numPr>
        <w:tabs>
          <w:tab w:val="clear" w:pos="709"/>
          <w:tab w:val="left" w:pos="284"/>
          <w:tab w:val="left" w:pos="360"/>
        </w:tabs>
        <w:spacing w:after="0" w:line="276" w:lineRule="auto"/>
        <w:ind w:left="284"/>
        <w:jc w:val="both"/>
        <w:rPr>
          <w:i/>
          <w:sz w:val="28"/>
          <w:szCs w:val="28"/>
          <w:lang w:val="uk-UA"/>
        </w:rPr>
      </w:pPr>
      <w:r w:rsidRPr="00295EFD">
        <w:rPr>
          <w:sz w:val="28"/>
          <w:szCs w:val="28"/>
          <w:lang w:val="uk-UA"/>
        </w:rPr>
        <w:t xml:space="preserve">Порівняльний аналіз </w:t>
      </w:r>
      <w:proofErr w:type="spellStart"/>
      <w:r w:rsidRPr="00295EFD">
        <w:rPr>
          <w:sz w:val="28"/>
          <w:szCs w:val="28"/>
          <w:lang w:val="uk-UA"/>
        </w:rPr>
        <w:t>прем’єрсько</w:t>
      </w:r>
      <w:proofErr w:type="spellEnd"/>
      <w:r w:rsidRPr="00295EFD">
        <w:rPr>
          <w:sz w:val="28"/>
          <w:szCs w:val="28"/>
          <w:lang w:val="uk-UA"/>
        </w:rPr>
        <w:t xml:space="preserve">-президентської і парламентської систем. </w:t>
      </w:r>
    </w:p>
    <w:p w:rsidR="00EF7AD1" w:rsidRPr="00295EFD" w:rsidRDefault="00EF7AD1" w:rsidP="00EF7AD1">
      <w:pPr>
        <w:pStyle w:val="a4"/>
        <w:numPr>
          <w:ilvl w:val="0"/>
          <w:numId w:val="2"/>
        </w:numPr>
        <w:tabs>
          <w:tab w:val="clear" w:pos="709"/>
          <w:tab w:val="left" w:pos="284"/>
          <w:tab w:val="left" w:pos="360"/>
        </w:tabs>
        <w:spacing w:after="0" w:line="276" w:lineRule="auto"/>
        <w:ind w:left="284"/>
        <w:jc w:val="both"/>
        <w:rPr>
          <w:i/>
          <w:sz w:val="28"/>
          <w:szCs w:val="28"/>
          <w:lang w:val="uk-UA"/>
        </w:rPr>
      </w:pPr>
      <w:r w:rsidRPr="00295EFD">
        <w:rPr>
          <w:sz w:val="28"/>
          <w:szCs w:val="28"/>
          <w:lang w:val="uk-UA"/>
        </w:rPr>
        <w:t xml:space="preserve">Характерні особливості повноважень президента, уряду і парламенту при різних республіканських формах правління. </w:t>
      </w:r>
    </w:p>
    <w:p w:rsidR="00EF7AD1" w:rsidRDefault="00EF7AD1" w:rsidP="00EF7AD1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 w:rsidRPr="006741D4">
        <w:rPr>
          <w:b/>
          <w:i/>
          <w:szCs w:val="28"/>
          <w:lang w:val="uk-UA"/>
        </w:rPr>
        <w:tab/>
      </w:r>
      <w:r w:rsidRPr="006741D4">
        <w:rPr>
          <w:b/>
          <w:i/>
          <w:szCs w:val="28"/>
          <w:lang w:val="uk-UA"/>
        </w:rPr>
        <w:tab/>
      </w:r>
    </w:p>
    <w:p w:rsidR="00EF7AD1" w:rsidRPr="006741D4" w:rsidRDefault="00EF7AD1" w:rsidP="00EF7AD1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EF7AD1" w:rsidRPr="006741D4" w:rsidRDefault="00EF7AD1" w:rsidP="00EF7AD1">
      <w:pPr>
        <w:pStyle w:val="a4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color w:val="000000"/>
          <w:szCs w:val="28"/>
          <w:lang w:val="uk-UA"/>
        </w:rPr>
        <w:t xml:space="preserve">Висоцький О. </w:t>
      </w:r>
      <w:r w:rsidRPr="006741D4">
        <w:rPr>
          <w:bCs/>
          <w:color w:val="000000"/>
          <w:szCs w:val="28"/>
          <w:lang w:val="uk-UA"/>
        </w:rPr>
        <w:t>Легітимаційна політика</w:t>
      </w:r>
      <w:r w:rsidRPr="006741D4">
        <w:rPr>
          <w:color w:val="000000"/>
          <w:szCs w:val="28"/>
          <w:lang w:val="uk-UA"/>
        </w:rPr>
        <w:t xml:space="preserve">: </w:t>
      </w:r>
      <w:r w:rsidRPr="006741D4">
        <w:rPr>
          <w:bCs/>
          <w:color w:val="000000"/>
          <w:szCs w:val="28"/>
          <w:lang w:val="uk-UA"/>
        </w:rPr>
        <w:t xml:space="preserve">поняття і сутність. </w:t>
      </w:r>
      <w:r w:rsidRPr="006741D4">
        <w:rPr>
          <w:i/>
          <w:color w:val="000000"/>
          <w:szCs w:val="28"/>
          <w:lang w:val="uk-UA"/>
        </w:rPr>
        <w:t>Політичний менеджмент</w:t>
      </w:r>
      <w:r w:rsidRPr="006741D4">
        <w:rPr>
          <w:color w:val="000000"/>
          <w:szCs w:val="28"/>
          <w:lang w:val="uk-UA"/>
        </w:rPr>
        <w:t>. 2006. № 3 (18). С. 3–20.</w:t>
      </w:r>
      <w:r w:rsidRPr="006741D4">
        <w:rPr>
          <w:szCs w:val="28"/>
          <w:lang w:val="uk-UA"/>
        </w:rPr>
        <w:t xml:space="preserve"> 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 xml:space="preserve">Київ : Академія, 1999. 239 с. 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,Italic"/>
          <w:iCs/>
          <w:szCs w:val="28"/>
          <w:lang w:val="uk-UA"/>
        </w:rPr>
      </w:pPr>
      <w:proofErr w:type="spellStart"/>
      <w:r w:rsidRPr="006741D4">
        <w:rPr>
          <w:rFonts w:eastAsia="TimesNewRoman,Italic"/>
          <w:iCs/>
          <w:szCs w:val="28"/>
          <w:lang w:val="uk-UA"/>
        </w:rPr>
        <w:t>Горбатенко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В. П. </w:t>
      </w:r>
      <w:r w:rsidRPr="006741D4">
        <w:rPr>
          <w:rFonts w:eastAsia="TimesNewRoman"/>
          <w:szCs w:val="28"/>
          <w:lang w:val="uk-UA"/>
        </w:rPr>
        <w:t>Стратегія модернізації суспільства</w:t>
      </w:r>
      <w:r w:rsidRPr="006741D4">
        <w:rPr>
          <w:rFonts w:eastAsia="TimesNewRoman,Italic"/>
          <w:szCs w:val="28"/>
          <w:lang w:val="uk-UA"/>
        </w:rPr>
        <w:t xml:space="preserve">: </w:t>
      </w:r>
      <w:r w:rsidRPr="006741D4">
        <w:rPr>
          <w:rFonts w:eastAsia="TimesNewRoman"/>
          <w:szCs w:val="28"/>
          <w:lang w:val="uk-UA"/>
        </w:rPr>
        <w:t>Україна і світ на зламі тисячоліть</w:t>
      </w:r>
      <w:r w:rsidRPr="006741D4">
        <w:rPr>
          <w:rFonts w:eastAsia="TimesNewRoman,Italic"/>
          <w:szCs w:val="28"/>
          <w:lang w:val="uk-UA"/>
        </w:rPr>
        <w:t xml:space="preserve">. </w:t>
      </w:r>
      <w:r w:rsidRPr="006741D4">
        <w:rPr>
          <w:rFonts w:eastAsia="TimesNewRoman"/>
          <w:szCs w:val="28"/>
          <w:lang w:val="uk-UA"/>
        </w:rPr>
        <w:t>К</w:t>
      </w:r>
      <w:r w:rsidRPr="006741D4">
        <w:rPr>
          <w:rFonts w:eastAsia="TimesNewRoman,Italic"/>
          <w:szCs w:val="28"/>
          <w:lang w:val="uk-UA"/>
        </w:rPr>
        <w:t>иїв, 1999. 342 с.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rFonts w:eastAsia="TimesNewRoman,Italic"/>
          <w:iCs/>
          <w:szCs w:val="28"/>
          <w:lang w:val="uk-UA"/>
        </w:rPr>
        <w:t>Здіорук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С. І., </w:t>
      </w:r>
      <w:proofErr w:type="spellStart"/>
      <w:r w:rsidRPr="006741D4">
        <w:rPr>
          <w:rFonts w:eastAsia="TimesNewRoman,Italic"/>
          <w:iCs/>
          <w:szCs w:val="28"/>
          <w:lang w:val="uk-UA"/>
        </w:rPr>
        <w:t>Бичек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В. В. </w:t>
      </w:r>
      <w:r w:rsidRPr="006741D4">
        <w:rPr>
          <w:rFonts w:eastAsia="TimesNewRoman"/>
          <w:szCs w:val="28"/>
          <w:lang w:val="uk-UA"/>
        </w:rPr>
        <w:t>Проблеми функціонування політичних партій України в системі владних відносин</w:t>
      </w:r>
      <w:r w:rsidRPr="006741D4">
        <w:rPr>
          <w:rFonts w:eastAsia="TimesNewRoman,Italic"/>
          <w:szCs w:val="28"/>
          <w:lang w:val="uk-UA"/>
        </w:rPr>
        <w:t xml:space="preserve">: </w:t>
      </w:r>
      <w:r w:rsidRPr="006741D4">
        <w:rPr>
          <w:rFonts w:eastAsia="TimesNewRoman"/>
          <w:szCs w:val="28"/>
          <w:lang w:val="uk-UA"/>
        </w:rPr>
        <w:t>Монографія</w:t>
      </w:r>
      <w:r w:rsidRPr="006741D4">
        <w:rPr>
          <w:rFonts w:eastAsia="TimesNewRoman,Italic"/>
          <w:szCs w:val="28"/>
          <w:lang w:val="uk-UA"/>
        </w:rPr>
        <w:t xml:space="preserve">. </w:t>
      </w:r>
      <w:r w:rsidRPr="006741D4">
        <w:rPr>
          <w:rFonts w:eastAsia="TimesNewRoman"/>
          <w:szCs w:val="28"/>
          <w:lang w:val="uk-UA"/>
        </w:rPr>
        <w:t>К</w:t>
      </w:r>
      <w:r w:rsidRPr="006741D4">
        <w:rPr>
          <w:rFonts w:eastAsia="TimesNewRoman,Italic"/>
          <w:szCs w:val="28"/>
          <w:lang w:val="uk-UA"/>
        </w:rPr>
        <w:t>иїв, 2001. 236 с.</w:t>
      </w:r>
    </w:p>
    <w:p w:rsidR="00EF7AD1" w:rsidRPr="006741D4" w:rsidRDefault="00EF7AD1" w:rsidP="00EF7AD1">
      <w:pPr>
        <w:pStyle w:val="a6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Мілль </w:t>
      </w:r>
      <w:proofErr w:type="spellStart"/>
      <w:r w:rsidRPr="006741D4">
        <w:rPr>
          <w:color w:val="000000"/>
          <w:sz w:val="28"/>
          <w:szCs w:val="28"/>
        </w:rPr>
        <w:t>Дж</w:t>
      </w:r>
      <w:proofErr w:type="spellEnd"/>
      <w:r w:rsidRPr="006741D4">
        <w:rPr>
          <w:color w:val="000000"/>
          <w:sz w:val="28"/>
          <w:szCs w:val="28"/>
        </w:rPr>
        <w:t xml:space="preserve">. Дилеми плюралістичної демократії. </w:t>
      </w:r>
      <w:r w:rsidRPr="006741D4">
        <w:rPr>
          <w:i/>
          <w:iCs/>
          <w:color w:val="000000"/>
          <w:sz w:val="28"/>
          <w:szCs w:val="28"/>
        </w:rPr>
        <w:t>Демократія: Антологія</w:t>
      </w:r>
      <w:r w:rsidRPr="006741D4">
        <w:rPr>
          <w:color w:val="000000"/>
          <w:sz w:val="28"/>
          <w:szCs w:val="28"/>
        </w:rPr>
        <w:t xml:space="preserve"> / </w:t>
      </w:r>
      <w:proofErr w:type="spellStart"/>
      <w:r w:rsidRPr="006741D4">
        <w:rPr>
          <w:color w:val="000000"/>
          <w:sz w:val="28"/>
          <w:szCs w:val="28"/>
        </w:rPr>
        <w:t>Упоряд</w:t>
      </w:r>
      <w:proofErr w:type="spellEnd"/>
      <w:r w:rsidRPr="006741D4">
        <w:rPr>
          <w:color w:val="000000"/>
          <w:sz w:val="28"/>
          <w:szCs w:val="28"/>
        </w:rPr>
        <w:t xml:space="preserve">. О. Проценко. Київ: Смолоскип, 2005. С.533-544. </w:t>
      </w:r>
    </w:p>
    <w:p w:rsidR="00EF7AD1" w:rsidRPr="006741D4" w:rsidRDefault="00EF7AD1" w:rsidP="00EF7AD1">
      <w:pPr>
        <w:pStyle w:val="a6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Монтескє</w:t>
      </w:r>
      <w:proofErr w:type="spellEnd"/>
      <w:r w:rsidRPr="006741D4">
        <w:rPr>
          <w:color w:val="000000"/>
          <w:sz w:val="28"/>
          <w:szCs w:val="28"/>
        </w:rPr>
        <w:t xml:space="preserve"> Ш.-Л. Про розподіл влади. </w:t>
      </w:r>
      <w:r w:rsidRPr="006741D4">
        <w:rPr>
          <w:i/>
          <w:iCs/>
          <w:color w:val="000000"/>
          <w:sz w:val="28"/>
          <w:szCs w:val="28"/>
        </w:rPr>
        <w:t>Демократія: Антологія</w:t>
      </w:r>
      <w:r w:rsidRPr="006741D4">
        <w:rPr>
          <w:color w:val="000000"/>
          <w:sz w:val="28"/>
          <w:szCs w:val="28"/>
        </w:rPr>
        <w:t xml:space="preserve"> / </w:t>
      </w:r>
      <w:proofErr w:type="spellStart"/>
      <w:r w:rsidRPr="006741D4">
        <w:rPr>
          <w:color w:val="000000"/>
          <w:sz w:val="28"/>
          <w:szCs w:val="28"/>
        </w:rPr>
        <w:t>упоряд</w:t>
      </w:r>
      <w:proofErr w:type="spellEnd"/>
      <w:r w:rsidRPr="006741D4">
        <w:rPr>
          <w:color w:val="000000"/>
          <w:sz w:val="28"/>
          <w:szCs w:val="28"/>
        </w:rPr>
        <w:t>. О. Проценко. Київ: Смолоскип, 2005. С.373-376.</w:t>
      </w:r>
    </w:p>
    <w:p w:rsidR="00EF7AD1" w:rsidRPr="006741D4" w:rsidRDefault="00EF7AD1" w:rsidP="00EF7AD1">
      <w:pPr>
        <w:pStyle w:val="a6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Пролеєв</w:t>
      </w:r>
      <w:proofErr w:type="spellEnd"/>
      <w:r w:rsidRPr="006741D4">
        <w:rPr>
          <w:color w:val="000000"/>
          <w:sz w:val="28"/>
          <w:szCs w:val="28"/>
        </w:rPr>
        <w:t xml:space="preserve"> С. Умови легітимаційного дискурсу та повсюдність примусу. </w:t>
      </w:r>
      <w:r w:rsidRPr="006741D4">
        <w:rPr>
          <w:i/>
          <w:iCs/>
          <w:color w:val="000000"/>
          <w:sz w:val="28"/>
          <w:szCs w:val="28"/>
        </w:rPr>
        <w:t>Філософська думка</w:t>
      </w:r>
      <w:r w:rsidRPr="006741D4">
        <w:rPr>
          <w:color w:val="000000"/>
          <w:sz w:val="28"/>
          <w:szCs w:val="28"/>
        </w:rPr>
        <w:t>. 2013. № 2. С.5-9</w:t>
      </w:r>
    </w:p>
    <w:p w:rsidR="00EF7AD1" w:rsidRPr="006741D4" w:rsidRDefault="00EF7AD1" w:rsidP="00EF7AD1">
      <w:pPr>
        <w:pStyle w:val="a6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  <w:shd w:val="clear" w:color="auto" w:fill="FFFFFF"/>
        </w:rPr>
        <w:t>Резнік</w:t>
      </w:r>
      <w:proofErr w:type="spellEnd"/>
      <w:r w:rsidRPr="006741D4">
        <w:rPr>
          <w:color w:val="000000"/>
          <w:sz w:val="28"/>
          <w:szCs w:val="28"/>
          <w:shd w:val="clear" w:color="auto" w:fill="FFFFFF"/>
        </w:rPr>
        <w:t xml:space="preserve"> В.С. </w:t>
      </w:r>
      <w:hyperlink r:id="rId6" w:history="1">
        <w:r w:rsidRPr="006741D4">
          <w:rPr>
            <w:rStyle w:val="a3"/>
            <w:color w:val="000000"/>
            <w:sz w:val="28"/>
            <w:szCs w:val="28"/>
            <w:shd w:val="clear" w:color="auto" w:fill="FFFFFF"/>
          </w:rPr>
          <w:t>Легітимність</w:t>
        </w:r>
      </w:hyperlink>
      <w:r w:rsidRPr="006741D4">
        <w:rPr>
          <w:color w:val="000000"/>
          <w:sz w:val="28"/>
          <w:szCs w:val="28"/>
        </w:rPr>
        <w:t>.</w:t>
      </w:r>
      <w:r w:rsidRPr="006741D4">
        <w:rPr>
          <w:color w:val="000000"/>
          <w:sz w:val="28"/>
          <w:szCs w:val="28"/>
          <w:shd w:val="clear" w:color="auto" w:fill="FFFFFF"/>
        </w:rPr>
        <w:t> </w:t>
      </w:r>
      <w:r w:rsidRPr="006741D4">
        <w:rPr>
          <w:i/>
          <w:iCs/>
          <w:color w:val="000000"/>
          <w:sz w:val="28"/>
          <w:szCs w:val="28"/>
          <w:shd w:val="clear" w:color="auto" w:fill="FFFFFF"/>
        </w:rPr>
        <w:t>Енциклопедія сучасної України</w:t>
      </w:r>
      <w:r w:rsidRPr="006741D4">
        <w:rPr>
          <w:color w:val="000000"/>
          <w:sz w:val="28"/>
          <w:szCs w:val="28"/>
          <w:shd w:val="clear" w:color="auto" w:fill="FFFFFF"/>
        </w:rPr>
        <w:t xml:space="preserve">, Київ: Ін-т </w:t>
      </w:r>
      <w:proofErr w:type="spellStart"/>
      <w:r w:rsidRPr="006741D4">
        <w:rPr>
          <w:color w:val="000000"/>
          <w:sz w:val="28"/>
          <w:szCs w:val="28"/>
          <w:shd w:val="clear" w:color="auto" w:fill="FFFFFF"/>
        </w:rPr>
        <w:t>енцикл</w:t>
      </w:r>
      <w:proofErr w:type="spellEnd"/>
      <w:r w:rsidRPr="006741D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41D4">
        <w:rPr>
          <w:color w:val="000000"/>
          <w:sz w:val="28"/>
          <w:szCs w:val="28"/>
          <w:shd w:val="clear" w:color="auto" w:fill="FFFFFF"/>
        </w:rPr>
        <w:t>дослідж</w:t>
      </w:r>
      <w:proofErr w:type="spellEnd"/>
      <w:r w:rsidRPr="006741D4">
        <w:rPr>
          <w:color w:val="000000"/>
          <w:sz w:val="28"/>
          <w:szCs w:val="28"/>
          <w:shd w:val="clear" w:color="auto" w:fill="FFFFFF"/>
        </w:rPr>
        <w:t xml:space="preserve">. НАН України, 2016. Том 17. </w:t>
      </w:r>
    </w:p>
    <w:p w:rsidR="00EF7AD1" w:rsidRPr="006741D4" w:rsidRDefault="00EF7AD1" w:rsidP="00EF7AD1">
      <w:pPr>
        <w:pStyle w:val="a4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6741D4">
        <w:rPr>
          <w:sz w:val="28"/>
          <w:szCs w:val="28"/>
          <w:lang w:val="uk-UA"/>
        </w:rPr>
        <w:t>Санистебан</w:t>
      </w:r>
      <w:proofErr w:type="spellEnd"/>
      <w:r w:rsidRPr="006741D4">
        <w:rPr>
          <w:sz w:val="28"/>
          <w:szCs w:val="28"/>
          <w:lang w:val="uk-UA"/>
        </w:rPr>
        <w:t xml:space="preserve"> Л. </w:t>
      </w:r>
      <w:proofErr w:type="spellStart"/>
      <w:r w:rsidRPr="006741D4">
        <w:rPr>
          <w:sz w:val="28"/>
          <w:szCs w:val="28"/>
          <w:lang w:val="uk-UA"/>
        </w:rPr>
        <w:t>Политические</w:t>
      </w:r>
      <w:proofErr w:type="spellEnd"/>
      <w:r w:rsidRPr="006741D4">
        <w:rPr>
          <w:sz w:val="28"/>
          <w:szCs w:val="28"/>
          <w:lang w:val="uk-UA"/>
        </w:rPr>
        <w:t xml:space="preserve"> </w:t>
      </w:r>
      <w:proofErr w:type="spellStart"/>
      <w:r w:rsidRPr="006741D4">
        <w:rPr>
          <w:sz w:val="28"/>
          <w:szCs w:val="28"/>
          <w:lang w:val="uk-UA"/>
        </w:rPr>
        <w:t>системы</w:t>
      </w:r>
      <w:proofErr w:type="spellEnd"/>
      <w:r w:rsidRPr="006741D4">
        <w:rPr>
          <w:sz w:val="28"/>
          <w:szCs w:val="28"/>
          <w:lang w:val="uk-UA"/>
        </w:rPr>
        <w:t xml:space="preserve"> и </w:t>
      </w:r>
      <w:proofErr w:type="spellStart"/>
      <w:r w:rsidRPr="006741D4">
        <w:rPr>
          <w:sz w:val="28"/>
          <w:szCs w:val="28"/>
          <w:lang w:val="uk-UA"/>
        </w:rPr>
        <w:t>легитимность</w:t>
      </w:r>
      <w:proofErr w:type="spellEnd"/>
      <w:r w:rsidRPr="006741D4">
        <w:rPr>
          <w:sz w:val="28"/>
          <w:szCs w:val="28"/>
          <w:lang w:val="uk-UA"/>
        </w:rPr>
        <w:t xml:space="preserve">. </w:t>
      </w:r>
      <w:proofErr w:type="spellStart"/>
      <w:r w:rsidRPr="006741D4">
        <w:rPr>
          <w:i/>
          <w:sz w:val="28"/>
          <w:szCs w:val="28"/>
          <w:lang w:val="uk-UA"/>
        </w:rPr>
        <w:t>Диалог</w:t>
      </w:r>
      <w:proofErr w:type="spellEnd"/>
      <w:r w:rsidRPr="006741D4">
        <w:rPr>
          <w:i/>
          <w:sz w:val="28"/>
          <w:szCs w:val="28"/>
          <w:lang w:val="uk-UA"/>
        </w:rPr>
        <w:t>.</w:t>
      </w:r>
      <w:r w:rsidRPr="006741D4">
        <w:rPr>
          <w:sz w:val="28"/>
          <w:szCs w:val="28"/>
          <w:lang w:val="uk-UA"/>
        </w:rPr>
        <w:t xml:space="preserve">  1993. № 4. С. 45–49.</w:t>
      </w:r>
    </w:p>
    <w:p w:rsidR="00EF7AD1" w:rsidRPr="006741D4" w:rsidRDefault="00EF7AD1" w:rsidP="00EF7AD1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Яковлева Л.І. Джерела легітимності демократичної влади. </w:t>
      </w:r>
      <w:proofErr w:type="spellStart"/>
      <w:r w:rsidRPr="006741D4">
        <w:rPr>
          <w:szCs w:val="28"/>
          <w:lang w:val="uk-UA"/>
        </w:rPr>
        <w:t>Гілея</w:t>
      </w:r>
      <w:proofErr w:type="spellEnd"/>
      <w:r w:rsidRPr="006741D4">
        <w:rPr>
          <w:szCs w:val="28"/>
          <w:lang w:val="uk-UA"/>
        </w:rPr>
        <w:t>: науковий вісник. 2018. Вип.135 (8). С. 293-297.</w:t>
      </w:r>
    </w:p>
    <w:p w:rsidR="004C2B1E" w:rsidRDefault="004C2B1E">
      <w:bookmarkStart w:id="0" w:name="_GoBack"/>
      <w:bookmarkEnd w:id="0"/>
    </w:p>
    <w:sectPr w:rsidR="004C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41A8"/>
    <w:multiLevelType w:val="hybridMultilevel"/>
    <w:tmpl w:val="3316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E175B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D1"/>
    <w:rsid w:val="004C2B1E"/>
    <w:rsid w:val="00E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D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7AD1"/>
    <w:rPr>
      <w:color w:val="0000FF"/>
      <w:u w:val="single"/>
    </w:rPr>
  </w:style>
  <w:style w:type="paragraph" w:styleId="a4">
    <w:name w:val="Body Text"/>
    <w:basedOn w:val="a"/>
    <w:link w:val="a5"/>
    <w:rsid w:val="00EF7AD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F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EF7AD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D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7AD1"/>
    <w:rPr>
      <w:color w:val="0000FF"/>
      <w:u w:val="single"/>
    </w:rPr>
  </w:style>
  <w:style w:type="paragraph" w:styleId="a4">
    <w:name w:val="Body Text"/>
    <w:basedOn w:val="a"/>
    <w:link w:val="a5"/>
    <w:rsid w:val="00EF7AD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F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EF7AD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soc.com.ua/assets/files/book/reznikv.s/3reznikv_legitimacy_in_sociology_esu_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2023-01-23T08:14:00Z</dcterms:created>
  <dcterms:modified xsi:type="dcterms:W3CDTF">2023-01-23T08:14:00Z</dcterms:modified>
</cp:coreProperties>
</file>