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E1E" w:rsidRDefault="00510E1E" w:rsidP="00510E1E">
      <w:pPr>
        <w:pStyle w:val="a5"/>
        <w:tabs>
          <w:tab w:val="left" w:pos="360"/>
        </w:tabs>
        <w:spacing w:after="0" w:line="276" w:lineRule="auto"/>
        <w:jc w:val="both"/>
        <w:rPr>
          <w:bCs/>
          <w:sz w:val="28"/>
          <w:szCs w:val="28"/>
          <w:lang w:val="uk-UA"/>
        </w:rPr>
      </w:pPr>
      <w:r w:rsidRPr="000B7473">
        <w:rPr>
          <w:b/>
          <w:sz w:val="28"/>
          <w:szCs w:val="28"/>
          <w:lang w:val="uk-UA"/>
        </w:rPr>
        <w:t>Лекція 12. Легітимність та громадянське суспільство</w:t>
      </w:r>
      <w:r w:rsidRPr="006741D4">
        <w:rPr>
          <w:b/>
          <w:bCs/>
          <w:i/>
          <w:sz w:val="28"/>
          <w:szCs w:val="28"/>
          <w:lang w:val="uk-UA"/>
        </w:rPr>
        <w:t>.</w:t>
      </w:r>
      <w:r w:rsidRPr="006741D4">
        <w:rPr>
          <w:bCs/>
          <w:sz w:val="28"/>
          <w:szCs w:val="28"/>
          <w:lang w:val="uk-UA"/>
        </w:rPr>
        <w:t xml:space="preserve"> </w:t>
      </w:r>
    </w:p>
    <w:p w:rsidR="00510E1E" w:rsidRDefault="00510E1E" w:rsidP="00510E1E">
      <w:pPr>
        <w:pStyle w:val="a5"/>
        <w:numPr>
          <w:ilvl w:val="0"/>
          <w:numId w:val="2"/>
        </w:numPr>
        <w:tabs>
          <w:tab w:val="clear" w:pos="709"/>
          <w:tab w:val="left" w:pos="360"/>
          <w:tab w:val="left" w:pos="426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Громадянське суспільство та легітимність влади. </w:t>
      </w:r>
    </w:p>
    <w:p w:rsidR="00510E1E" w:rsidRDefault="00510E1E" w:rsidP="00510E1E">
      <w:pPr>
        <w:pStyle w:val="a5"/>
        <w:numPr>
          <w:ilvl w:val="0"/>
          <w:numId w:val="2"/>
        </w:numPr>
        <w:tabs>
          <w:tab w:val="clear" w:pos="709"/>
          <w:tab w:val="left" w:pos="360"/>
          <w:tab w:val="left" w:pos="426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Історичні етапи становлення ідеї громадянського суспільства. </w:t>
      </w:r>
    </w:p>
    <w:p w:rsidR="00510E1E" w:rsidRDefault="00510E1E" w:rsidP="00510E1E">
      <w:pPr>
        <w:pStyle w:val="a5"/>
        <w:numPr>
          <w:ilvl w:val="0"/>
          <w:numId w:val="2"/>
        </w:numPr>
        <w:tabs>
          <w:tab w:val="clear" w:pos="709"/>
          <w:tab w:val="left" w:pos="360"/>
          <w:tab w:val="left" w:pos="426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>Вплив інституцій громадянського суспільства на легітимаційний процес.</w:t>
      </w:r>
    </w:p>
    <w:p w:rsidR="00510E1E" w:rsidRDefault="00510E1E" w:rsidP="00510E1E">
      <w:pPr>
        <w:pStyle w:val="a5"/>
        <w:numPr>
          <w:ilvl w:val="0"/>
          <w:numId w:val="2"/>
        </w:numPr>
        <w:tabs>
          <w:tab w:val="clear" w:pos="709"/>
          <w:tab w:val="left" w:pos="360"/>
          <w:tab w:val="left" w:pos="426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Владо-легітимаційна та </w:t>
      </w:r>
      <w:proofErr w:type="spellStart"/>
      <w:r w:rsidRPr="006741D4">
        <w:rPr>
          <w:sz w:val="28"/>
          <w:szCs w:val="28"/>
          <w:lang w:val="uk-UA"/>
        </w:rPr>
        <w:t>корегуюча</w:t>
      </w:r>
      <w:proofErr w:type="spellEnd"/>
      <w:r w:rsidRPr="006741D4">
        <w:rPr>
          <w:sz w:val="28"/>
          <w:szCs w:val="28"/>
          <w:lang w:val="uk-UA"/>
        </w:rPr>
        <w:t xml:space="preserve"> функція громадянського суспільства. </w:t>
      </w:r>
    </w:p>
    <w:p w:rsidR="00510E1E" w:rsidRPr="006741D4" w:rsidRDefault="00510E1E" w:rsidP="00510E1E">
      <w:pPr>
        <w:pStyle w:val="a5"/>
        <w:numPr>
          <w:ilvl w:val="0"/>
          <w:numId w:val="2"/>
        </w:numPr>
        <w:tabs>
          <w:tab w:val="clear" w:pos="709"/>
          <w:tab w:val="left" w:pos="360"/>
          <w:tab w:val="left" w:pos="426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>Сучасні тенденції розвитку та взаємозв’язку легітимності та громадянського суспільства.</w:t>
      </w:r>
    </w:p>
    <w:p w:rsidR="00510E1E" w:rsidRDefault="00510E1E" w:rsidP="00510E1E">
      <w:pPr>
        <w:pStyle w:val="a5"/>
        <w:tabs>
          <w:tab w:val="left" w:pos="360"/>
        </w:tabs>
        <w:spacing w:after="0" w:line="276" w:lineRule="auto"/>
        <w:jc w:val="both"/>
        <w:rPr>
          <w:b/>
          <w:sz w:val="28"/>
          <w:szCs w:val="28"/>
          <w:lang w:val="uk-UA"/>
        </w:rPr>
      </w:pPr>
      <w:r w:rsidRPr="006741D4">
        <w:rPr>
          <w:b/>
          <w:sz w:val="28"/>
          <w:szCs w:val="28"/>
          <w:lang w:val="uk-UA"/>
        </w:rPr>
        <w:tab/>
      </w:r>
      <w:r w:rsidRPr="006741D4">
        <w:rPr>
          <w:b/>
          <w:sz w:val="28"/>
          <w:szCs w:val="28"/>
          <w:lang w:val="uk-UA"/>
        </w:rPr>
        <w:tab/>
      </w:r>
      <w:bookmarkStart w:id="0" w:name="_GoBack"/>
      <w:bookmarkEnd w:id="0"/>
    </w:p>
    <w:p w:rsidR="00510E1E" w:rsidRPr="006741D4" w:rsidRDefault="00510E1E" w:rsidP="00510E1E">
      <w:pPr>
        <w:widowControl w:val="0"/>
        <w:spacing w:line="240" w:lineRule="auto"/>
        <w:ind w:firstLine="0"/>
        <w:jc w:val="center"/>
        <w:rPr>
          <w:b/>
          <w:i/>
          <w:szCs w:val="28"/>
          <w:lang w:val="uk-UA"/>
        </w:rPr>
      </w:pPr>
      <w:r>
        <w:rPr>
          <w:b/>
          <w:szCs w:val="28"/>
          <w:lang w:val="uk-UA"/>
        </w:rPr>
        <w:t>Р</w:t>
      </w:r>
      <w:r w:rsidRPr="006741D4">
        <w:rPr>
          <w:b/>
          <w:szCs w:val="28"/>
          <w:lang w:val="uk-UA"/>
        </w:rPr>
        <w:t>екомендована література</w:t>
      </w:r>
      <w:r>
        <w:rPr>
          <w:b/>
          <w:szCs w:val="28"/>
          <w:lang w:val="uk-UA"/>
        </w:rPr>
        <w:t>:</w:t>
      </w:r>
    </w:p>
    <w:p w:rsidR="00510E1E" w:rsidRPr="006741D4" w:rsidRDefault="00510E1E" w:rsidP="00510E1E">
      <w:pPr>
        <w:pStyle w:val="a5"/>
        <w:numPr>
          <w:ilvl w:val="0"/>
          <w:numId w:val="1"/>
        </w:numPr>
        <w:tabs>
          <w:tab w:val="clear" w:pos="709"/>
          <w:tab w:val="left" w:pos="567"/>
          <w:tab w:val="left" w:pos="851"/>
        </w:tabs>
        <w:spacing w:after="0"/>
        <w:ind w:left="567" w:hanging="567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Бистрицький Є. Державотворення в Україні: шляхи легітимації / Євген Бистрицький, Олег Білий. </w:t>
      </w:r>
      <w:r w:rsidRPr="006741D4">
        <w:rPr>
          <w:i/>
          <w:sz w:val="28"/>
          <w:szCs w:val="28"/>
          <w:lang w:val="uk-UA"/>
        </w:rPr>
        <w:t>Політична думка.</w:t>
      </w:r>
      <w:r w:rsidRPr="006741D4">
        <w:rPr>
          <w:sz w:val="28"/>
          <w:szCs w:val="28"/>
          <w:lang w:val="uk-UA"/>
        </w:rPr>
        <w:t xml:space="preserve"> 1996. № 1. С. 11–24.</w:t>
      </w:r>
    </w:p>
    <w:p w:rsidR="00510E1E" w:rsidRPr="006741D4" w:rsidRDefault="00510E1E" w:rsidP="00510E1E">
      <w:pPr>
        <w:numPr>
          <w:ilvl w:val="0"/>
          <w:numId w:val="1"/>
        </w:numPr>
        <w:tabs>
          <w:tab w:val="clear" w:pos="709"/>
          <w:tab w:val="left" w:pos="567"/>
        </w:tabs>
        <w:spacing w:line="240" w:lineRule="auto"/>
        <w:ind w:left="567" w:hanging="567"/>
        <w:rPr>
          <w:szCs w:val="28"/>
          <w:lang w:val="uk-UA"/>
        </w:rPr>
      </w:pPr>
      <w:r w:rsidRPr="006741D4">
        <w:rPr>
          <w:szCs w:val="28"/>
          <w:lang w:val="uk-UA"/>
        </w:rPr>
        <w:t xml:space="preserve">Бистрицький Є. </w:t>
      </w:r>
      <w:r w:rsidRPr="006741D4">
        <w:rPr>
          <w:color w:val="000000"/>
          <w:szCs w:val="28"/>
          <w:lang w:val="uk-UA"/>
        </w:rPr>
        <w:t xml:space="preserve">Бурковський І., Дергачов О. </w:t>
      </w:r>
      <w:r w:rsidRPr="006741D4">
        <w:rPr>
          <w:szCs w:val="28"/>
          <w:lang w:val="uk-UA"/>
        </w:rPr>
        <w:t>Проблема легітимації.</w:t>
      </w:r>
      <w:r w:rsidRPr="006741D4">
        <w:rPr>
          <w:color w:val="000000"/>
          <w:szCs w:val="28"/>
          <w:lang w:val="uk-UA"/>
        </w:rPr>
        <w:t xml:space="preserve"> </w:t>
      </w:r>
      <w:r w:rsidRPr="006741D4">
        <w:rPr>
          <w:szCs w:val="28"/>
          <w:lang w:val="uk-UA"/>
        </w:rPr>
        <w:t>Українська державність у ХХ сторіччі. Історико-політичний аналіз</w:t>
      </w:r>
      <w:r w:rsidRPr="006741D4">
        <w:rPr>
          <w:color w:val="000000"/>
          <w:szCs w:val="28"/>
          <w:lang w:val="uk-UA"/>
        </w:rPr>
        <w:t xml:space="preserve">. </w:t>
      </w:r>
      <w:r w:rsidRPr="006741D4">
        <w:rPr>
          <w:szCs w:val="28"/>
          <w:lang w:val="uk-UA"/>
        </w:rPr>
        <w:t>Київ : Політична думка, 1996. С. 318–320</w:t>
      </w:r>
      <w:r w:rsidRPr="006741D4">
        <w:rPr>
          <w:color w:val="000000"/>
          <w:szCs w:val="28"/>
          <w:lang w:val="uk-UA"/>
        </w:rPr>
        <w:t xml:space="preserve">. </w:t>
      </w:r>
    </w:p>
    <w:p w:rsidR="00510E1E" w:rsidRPr="006741D4" w:rsidRDefault="00510E1E" w:rsidP="00510E1E">
      <w:pPr>
        <w:numPr>
          <w:ilvl w:val="0"/>
          <w:numId w:val="1"/>
        </w:numPr>
        <w:tabs>
          <w:tab w:val="clear" w:pos="709"/>
          <w:tab w:val="left" w:pos="567"/>
        </w:tabs>
        <w:spacing w:line="240" w:lineRule="auto"/>
        <w:ind w:left="567" w:hanging="567"/>
        <w:rPr>
          <w:szCs w:val="28"/>
          <w:lang w:val="uk-UA"/>
        </w:rPr>
      </w:pPr>
      <w:proofErr w:type="spellStart"/>
      <w:r w:rsidRPr="006741D4">
        <w:rPr>
          <w:szCs w:val="28"/>
          <w:lang w:val="uk-UA"/>
        </w:rPr>
        <w:t>Ґабеpмас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Юрген</w:t>
      </w:r>
      <w:proofErr w:type="spellEnd"/>
      <w:r w:rsidRPr="006741D4">
        <w:rPr>
          <w:szCs w:val="28"/>
          <w:lang w:val="uk-UA"/>
        </w:rPr>
        <w:t xml:space="preserve">. </w:t>
      </w:r>
      <w:proofErr w:type="spellStart"/>
      <w:r w:rsidRPr="006741D4">
        <w:rPr>
          <w:szCs w:val="28"/>
          <w:lang w:val="uk-UA"/>
        </w:rPr>
        <w:t>Стpуктуpні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пеpетвоpення</w:t>
      </w:r>
      <w:proofErr w:type="spellEnd"/>
      <w:r w:rsidRPr="006741D4">
        <w:rPr>
          <w:szCs w:val="28"/>
          <w:lang w:val="uk-UA"/>
        </w:rPr>
        <w:t xml:space="preserve"> у </w:t>
      </w:r>
      <w:proofErr w:type="spellStart"/>
      <w:r w:rsidRPr="006741D4">
        <w:rPr>
          <w:szCs w:val="28"/>
          <w:lang w:val="uk-UA"/>
        </w:rPr>
        <w:t>сфеpі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відкpитости</w:t>
      </w:r>
      <w:proofErr w:type="spellEnd"/>
      <w:r w:rsidRPr="006741D4">
        <w:rPr>
          <w:szCs w:val="28"/>
          <w:lang w:val="uk-UA"/>
        </w:rPr>
        <w:t xml:space="preserve">: дослідження </w:t>
      </w:r>
      <w:proofErr w:type="spellStart"/>
      <w:r w:rsidRPr="006741D4">
        <w:rPr>
          <w:szCs w:val="28"/>
          <w:lang w:val="uk-UA"/>
        </w:rPr>
        <w:t>категоpії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гpомадянське</w:t>
      </w:r>
      <w:proofErr w:type="spellEnd"/>
      <w:r w:rsidRPr="006741D4">
        <w:rPr>
          <w:szCs w:val="28"/>
          <w:lang w:val="uk-UA"/>
        </w:rPr>
        <w:t xml:space="preserve"> суспільство. Львів : Літопис, 2000.  317 с.</w:t>
      </w:r>
    </w:p>
    <w:p w:rsidR="00510E1E" w:rsidRPr="006741D4" w:rsidRDefault="00510E1E" w:rsidP="00510E1E">
      <w:pPr>
        <w:numPr>
          <w:ilvl w:val="0"/>
          <w:numId w:val="1"/>
        </w:numPr>
        <w:tabs>
          <w:tab w:val="clear" w:pos="709"/>
          <w:tab w:val="left" w:pos="567"/>
        </w:tabs>
        <w:spacing w:line="240" w:lineRule="auto"/>
        <w:ind w:left="567" w:hanging="567"/>
        <w:rPr>
          <w:szCs w:val="28"/>
          <w:lang w:val="uk-UA"/>
        </w:rPr>
      </w:pPr>
      <w:proofErr w:type="spellStart"/>
      <w:r w:rsidRPr="006741D4">
        <w:rPr>
          <w:szCs w:val="28"/>
          <w:lang w:val="uk-UA"/>
        </w:rPr>
        <w:t>Горбатенко</w:t>
      </w:r>
      <w:proofErr w:type="spellEnd"/>
      <w:r w:rsidRPr="006741D4">
        <w:rPr>
          <w:szCs w:val="28"/>
          <w:lang w:val="uk-UA"/>
        </w:rPr>
        <w:t xml:space="preserve"> В. П. </w:t>
      </w:r>
      <w:r w:rsidRPr="006741D4">
        <w:rPr>
          <w:bCs/>
          <w:szCs w:val="28"/>
          <w:lang w:val="uk-UA"/>
        </w:rPr>
        <w:t xml:space="preserve">Стратегія модернізації суспільства: Україна і світ на зламі тисячоліть. </w:t>
      </w:r>
      <w:r w:rsidRPr="006741D4">
        <w:rPr>
          <w:szCs w:val="28"/>
          <w:lang w:val="uk-UA"/>
        </w:rPr>
        <w:t xml:space="preserve">Київ : Академія, 1999. 239 с. </w:t>
      </w:r>
    </w:p>
    <w:p w:rsidR="00510E1E" w:rsidRPr="006741D4" w:rsidRDefault="00510E1E" w:rsidP="00510E1E">
      <w:pPr>
        <w:pStyle w:val="a3"/>
        <w:numPr>
          <w:ilvl w:val="0"/>
          <w:numId w:val="1"/>
        </w:numPr>
        <w:tabs>
          <w:tab w:val="clear" w:pos="709"/>
          <w:tab w:val="left" w:pos="567"/>
        </w:tabs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41D4">
        <w:rPr>
          <w:rFonts w:ascii="Times New Roman" w:hAnsi="Times New Roman"/>
          <w:sz w:val="28"/>
          <w:szCs w:val="28"/>
        </w:rPr>
        <w:t>Дибиров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 А-Н. З. </w:t>
      </w:r>
      <w:proofErr w:type="spellStart"/>
      <w:r w:rsidRPr="006741D4">
        <w:rPr>
          <w:rFonts w:ascii="Times New Roman" w:hAnsi="Times New Roman"/>
          <w:sz w:val="28"/>
          <w:szCs w:val="28"/>
        </w:rPr>
        <w:t>Теория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41D4">
        <w:rPr>
          <w:rFonts w:ascii="Times New Roman" w:hAnsi="Times New Roman"/>
          <w:sz w:val="28"/>
          <w:szCs w:val="28"/>
        </w:rPr>
        <w:t>политической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41D4">
        <w:rPr>
          <w:rFonts w:ascii="Times New Roman" w:hAnsi="Times New Roman"/>
          <w:sz w:val="28"/>
          <w:szCs w:val="28"/>
        </w:rPr>
        <w:t>легитимности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: Курс </w:t>
      </w:r>
      <w:proofErr w:type="spellStart"/>
      <w:r w:rsidRPr="006741D4">
        <w:rPr>
          <w:rFonts w:ascii="Times New Roman" w:hAnsi="Times New Roman"/>
          <w:sz w:val="28"/>
          <w:szCs w:val="28"/>
        </w:rPr>
        <w:t>лекций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. Москва : </w:t>
      </w:r>
      <w:proofErr w:type="spellStart"/>
      <w:r w:rsidRPr="006741D4">
        <w:rPr>
          <w:rFonts w:ascii="Times New Roman" w:hAnsi="Times New Roman"/>
          <w:sz w:val="28"/>
          <w:szCs w:val="28"/>
        </w:rPr>
        <w:t>Российская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41D4">
        <w:rPr>
          <w:rFonts w:ascii="Times New Roman" w:hAnsi="Times New Roman"/>
          <w:sz w:val="28"/>
          <w:szCs w:val="28"/>
        </w:rPr>
        <w:t>политическая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41D4">
        <w:rPr>
          <w:rFonts w:ascii="Times New Roman" w:hAnsi="Times New Roman"/>
          <w:sz w:val="28"/>
          <w:szCs w:val="28"/>
        </w:rPr>
        <w:t>энциклопедия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, 2007. 272 с.  </w:t>
      </w:r>
    </w:p>
    <w:p w:rsidR="00510E1E" w:rsidRPr="006741D4" w:rsidRDefault="00510E1E" w:rsidP="00510E1E">
      <w:pPr>
        <w:pStyle w:val="a7"/>
        <w:numPr>
          <w:ilvl w:val="0"/>
          <w:numId w:val="1"/>
        </w:numPr>
        <w:tabs>
          <w:tab w:val="clear" w:pos="709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6741D4">
        <w:rPr>
          <w:sz w:val="28"/>
          <w:szCs w:val="28"/>
        </w:rPr>
        <w:t>Зимовець Р. Формування і засадничі принципи ідеї громадянської ідентичності. Національна ідентичності і громадянське суспільств / Бистрицький Є. та інші. Київ: Дух і Літера. 2015. С. 194–350.</w:t>
      </w:r>
    </w:p>
    <w:p w:rsidR="00510E1E" w:rsidRPr="006741D4" w:rsidRDefault="00510E1E" w:rsidP="00510E1E">
      <w:pPr>
        <w:pStyle w:val="a7"/>
        <w:numPr>
          <w:ilvl w:val="0"/>
          <w:numId w:val="1"/>
        </w:numPr>
        <w:tabs>
          <w:tab w:val="clear" w:pos="709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6741D4">
        <w:rPr>
          <w:sz w:val="28"/>
          <w:szCs w:val="28"/>
        </w:rPr>
        <w:t xml:space="preserve">Рибак І. В. Вплив інформаційно-маніпулятивних технологій на процес легітимації політичної влади в Україні: </w:t>
      </w:r>
      <w:proofErr w:type="spellStart"/>
      <w:r w:rsidRPr="006741D4">
        <w:rPr>
          <w:sz w:val="28"/>
          <w:szCs w:val="28"/>
        </w:rPr>
        <w:t>автореф</w:t>
      </w:r>
      <w:proofErr w:type="spellEnd"/>
      <w:r w:rsidRPr="006741D4">
        <w:rPr>
          <w:sz w:val="28"/>
          <w:szCs w:val="28"/>
        </w:rPr>
        <w:t xml:space="preserve">. </w:t>
      </w:r>
      <w:proofErr w:type="spellStart"/>
      <w:r w:rsidRPr="006741D4">
        <w:rPr>
          <w:sz w:val="28"/>
          <w:szCs w:val="28"/>
        </w:rPr>
        <w:t>дис</w:t>
      </w:r>
      <w:proofErr w:type="spellEnd"/>
      <w:r w:rsidRPr="006741D4">
        <w:rPr>
          <w:sz w:val="28"/>
          <w:szCs w:val="28"/>
        </w:rPr>
        <w:t xml:space="preserve">… </w:t>
      </w:r>
      <w:proofErr w:type="spellStart"/>
      <w:r w:rsidRPr="006741D4">
        <w:rPr>
          <w:sz w:val="28"/>
          <w:szCs w:val="28"/>
        </w:rPr>
        <w:t>канд</w:t>
      </w:r>
      <w:proofErr w:type="spellEnd"/>
      <w:r w:rsidRPr="006741D4">
        <w:rPr>
          <w:sz w:val="28"/>
          <w:szCs w:val="28"/>
        </w:rPr>
        <w:t>. політ. наук: 23.00.02. Київ: Інститут держави і права ім. В. М. Корецького НАН України, 2016. 20 с.</w:t>
      </w:r>
    </w:p>
    <w:p w:rsidR="00510E1E" w:rsidRPr="006741D4" w:rsidRDefault="00510E1E" w:rsidP="00510E1E">
      <w:pPr>
        <w:pStyle w:val="a7"/>
        <w:numPr>
          <w:ilvl w:val="0"/>
          <w:numId w:val="1"/>
        </w:numPr>
        <w:tabs>
          <w:tab w:val="clear" w:pos="709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proofErr w:type="spellStart"/>
      <w:r w:rsidRPr="006741D4">
        <w:rPr>
          <w:sz w:val="28"/>
          <w:szCs w:val="28"/>
        </w:rPr>
        <w:t>Розанвалон</w:t>
      </w:r>
      <w:proofErr w:type="spellEnd"/>
      <w:r w:rsidRPr="006741D4">
        <w:rPr>
          <w:sz w:val="28"/>
          <w:szCs w:val="28"/>
        </w:rPr>
        <w:t xml:space="preserve"> П. Демократична легітимність. Безсторонність, рефлективність, наближеність / пер. з </w:t>
      </w:r>
      <w:proofErr w:type="spellStart"/>
      <w:r w:rsidRPr="006741D4">
        <w:rPr>
          <w:sz w:val="28"/>
          <w:szCs w:val="28"/>
        </w:rPr>
        <w:t>фр</w:t>
      </w:r>
      <w:proofErr w:type="spellEnd"/>
      <w:r w:rsidRPr="006741D4">
        <w:rPr>
          <w:sz w:val="28"/>
          <w:szCs w:val="28"/>
        </w:rPr>
        <w:t>. Є. </w:t>
      </w:r>
      <w:proofErr w:type="spellStart"/>
      <w:r w:rsidRPr="006741D4">
        <w:rPr>
          <w:sz w:val="28"/>
          <w:szCs w:val="28"/>
        </w:rPr>
        <w:t>Марічева</w:t>
      </w:r>
      <w:proofErr w:type="spellEnd"/>
      <w:r w:rsidRPr="006741D4">
        <w:rPr>
          <w:sz w:val="28"/>
          <w:szCs w:val="28"/>
        </w:rPr>
        <w:t>. Київ : Вид. дім «Києво-Могилянська академія», 2009. 287 с.</w:t>
      </w:r>
    </w:p>
    <w:p w:rsidR="00510E1E" w:rsidRPr="006741D4" w:rsidRDefault="00510E1E" w:rsidP="00510E1E">
      <w:pPr>
        <w:pStyle w:val="a5"/>
        <w:numPr>
          <w:ilvl w:val="0"/>
          <w:numId w:val="1"/>
        </w:numPr>
        <w:tabs>
          <w:tab w:val="clear" w:pos="709"/>
          <w:tab w:val="left" w:pos="567"/>
        </w:tabs>
        <w:spacing w:after="0"/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6741D4">
        <w:rPr>
          <w:sz w:val="28"/>
          <w:szCs w:val="28"/>
          <w:lang w:val="uk-UA"/>
        </w:rPr>
        <w:t>Сікора</w:t>
      </w:r>
      <w:proofErr w:type="spellEnd"/>
      <w:r w:rsidRPr="006741D4">
        <w:rPr>
          <w:sz w:val="28"/>
          <w:szCs w:val="28"/>
          <w:lang w:val="uk-UA"/>
        </w:rPr>
        <w:t xml:space="preserve"> І. Проблема легітимності політичної системи і державності в перехідних суспільствах. </w:t>
      </w:r>
      <w:r w:rsidRPr="006741D4">
        <w:rPr>
          <w:i/>
          <w:sz w:val="28"/>
          <w:szCs w:val="28"/>
          <w:lang w:val="uk-UA"/>
        </w:rPr>
        <w:t>Політологічні читання</w:t>
      </w:r>
      <w:r w:rsidRPr="006741D4">
        <w:rPr>
          <w:sz w:val="28"/>
          <w:szCs w:val="28"/>
          <w:lang w:val="uk-UA"/>
        </w:rPr>
        <w:t>. 1992. № 1. С. 220–227.</w:t>
      </w:r>
    </w:p>
    <w:p w:rsidR="00510E1E" w:rsidRPr="006741D4" w:rsidRDefault="00510E1E" w:rsidP="00510E1E">
      <w:pPr>
        <w:pStyle w:val="a7"/>
        <w:numPr>
          <w:ilvl w:val="0"/>
          <w:numId w:val="1"/>
        </w:numPr>
        <w:tabs>
          <w:tab w:val="clear" w:pos="709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6741D4">
        <w:rPr>
          <w:color w:val="000000"/>
          <w:sz w:val="28"/>
          <w:szCs w:val="28"/>
        </w:rPr>
        <w:t>Яковлева Л.І. «</w:t>
      </w:r>
      <w:proofErr w:type="spellStart"/>
      <w:r w:rsidRPr="006741D4">
        <w:rPr>
          <w:color w:val="000000"/>
          <w:sz w:val="28"/>
          <w:szCs w:val="28"/>
        </w:rPr>
        <w:t>Розчаклування</w:t>
      </w:r>
      <w:proofErr w:type="spellEnd"/>
      <w:r w:rsidRPr="006741D4">
        <w:rPr>
          <w:color w:val="000000"/>
          <w:sz w:val="28"/>
          <w:szCs w:val="28"/>
        </w:rPr>
        <w:t xml:space="preserve">» легітимності: соціальна дія як передумова легітимного соціального порядку </w:t>
      </w:r>
      <w:r w:rsidRPr="006741D4">
        <w:rPr>
          <w:i/>
          <w:iCs/>
          <w:color w:val="000000"/>
          <w:sz w:val="28"/>
          <w:szCs w:val="28"/>
        </w:rPr>
        <w:t>Вісник Львівського університету. Серія філософські-політичні студії</w:t>
      </w:r>
      <w:r w:rsidRPr="006741D4">
        <w:rPr>
          <w:color w:val="000000"/>
          <w:sz w:val="28"/>
          <w:szCs w:val="28"/>
        </w:rPr>
        <w:t>. Львів, 2019. №. 25 . С. 198-204.</w:t>
      </w:r>
    </w:p>
    <w:p w:rsidR="00510E1E" w:rsidRPr="006741D4" w:rsidRDefault="00510E1E" w:rsidP="00510E1E">
      <w:pPr>
        <w:pStyle w:val="a7"/>
        <w:numPr>
          <w:ilvl w:val="0"/>
          <w:numId w:val="1"/>
        </w:numPr>
        <w:tabs>
          <w:tab w:val="clear" w:pos="709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6741D4">
        <w:rPr>
          <w:color w:val="000000"/>
          <w:sz w:val="28"/>
          <w:szCs w:val="28"/>
        </w:rPr>
        <w:t xml:space="preserve">Яковлева Л.І. Від соціального порядку до публічної влади: організаційні, інституційні та комунікативні засади легітимності. </w:t>
      </w:r>
      <w:r w:rsidRPr="006741D4">
        <w:rPr>
          <w:bCs/>
          <w:i/>
          <w:iCs/>
          <w:color w:val="000000"/>
          <w:sz w:val="28"/>
          <w:szCs w:val="28"/>
          <w:shd w:val="clear" w:color="auto" w:fill="FFFFFF"/>
        </w:rPr>
        <w:t>«</w:t>
      </w:r>
      <w:proofErr w:type="spellStart"/>
      <w:r w:rsidRPr="006741D4">
        <w:rPr>
          <w:bCs/>
          <w:i/>
          <w:iCs/>
          <w:color w:val="000000"/>
          <w:sz w:val="28"/>
          <w:szCs w:val="28"/>
          <w:shd w:val="clear" w:color="auto" w:fill="FFFFFF"/>
        </w:rPr>
        <w:t>Politicus</w:t>
      </w:r>
      <w:proofErr w:type="spellEnd"/>
      <w:r w:rsidRPr="006741D4">
        <w:rPr>
          <w:bCs/>
          <w:i/>
          <w:iCs/>
          <w:color w:val="000000"/>
          <w:sz w:val="28"/>
          <w:szCs w:val="28"/>
          <w:shd w:val="clear" w:color="auto" w:fill="FFFFFF"/>
        </w:rPr>
        <w:t>»: науковий журнал.</w:t>
      </w:r>
      <w:r w:rsidRPr="006741D4">
        <w:rPr>
          <w:color w:val="000000"/>
          <w:sz w:val="28"/>
          <w:szCs w:val="28"/>
          <w:shd w:val="clear" w:color="auto" w:fill="FFFFFF"/>
        </w:rPr>
        <w:t xml:space="preserve"> 2019. Випуск 4. С.10-15.</w:t>
      </w:r>
    </w:p>
    <w:p w:rsidR="00510E1E" w:rsidRPr="006741D4" w:rsidRDefault="00510E1E" w:rsidP="00510E1E">
      <w:pPr>
        <w:pStyle w:val="a7"/>
        <w:numPr>
          <w:ilvl w:val="0"/>
          <w:numId w:val="1"/>
        </w:numPr>
        <w:tabs>
          <w:tab w:val="clear" w:pos="709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6741D4">
        <w:rPr>
          <w:color w:val="000000"/>
          <w:sz w:val="28"/>
          <w:szCs w:val="28"/>
        </w:rPr>
        <w:t xml:space="preserve">Яковлева Л.І. Канон легітимності: класичні визначення, політико-правові контрасти, сучасні виклики. </w:t>
      </w:r>
      <w:r w:rsidRPr="006741D4">
        <w:rPr>
          <w:i/>
          <w:iCs/>
          <w:color w:val="000000"/>
          <w:sz w:val="28"/>
          <w:szCs w:val="28"/>
        </w:rPr>
        <w:t>«</w:t>
      </w:r>
      <w:proofErr w:type="spellStart"/>
      <w:r w:rsidRPr="006741D4">
        <w:rPr>
          <w:i/>
          <w:iCs/>
          <w:color w:val="000000"/>
          <w:sz w:val="28"/>
          <w:szCs w:val="28"/>
        </w:rPr>
        <w:t>Politicus</w:t>
      </w:r>
      <w:proofErr w:type="spellEnd"/>
      <w:r w:rsidRPr="006741D4">
        <w:rPr>
          <w:i/>
          <w:iCs/>
          <w:color w:val="000000"/>
          <w:sz w:val="28"/>
          <w:szCs w:val="28"/>
        </w:rPr>
        <w:t>»: науковий журнал</w:t>
      </w:r>
      <w:r w:rsidRPr="006741D4">
        <w:rPr>
          <w:color w:val="000000"/>
          <w:sz w:val="28"/>
          <w:szCs w:val="28"/>
        </w:rPr>
        <w:t xml:space="preserve">. 2020. Випуск 1.С. 5-11.  </w:t>
      </w:r>
    </w:p>
    <w:p w:rsidR="00510E1E" w:rsidRPr="006741D4" w:rsidRDefault="00510E1E" w:rsidP="00510E1E">
      <w:pPr>
        <w:numPr>
          <w:ilvl w:val="0"/>
          <w:numId w:val="1"/>
        </w:numPr>
        <w:tabs>
          <w:tab w:val="clear" w:pos="709"/>
        </w:tabs>
        <w:spacing w:line="240" w:lineRule="auto"/>
        <w:ind w:left="567" w:hanging="567"/>
        <w:rPr>
          <w:szCs w:val="28"/>
          <w:lang w:val="uk-UA"/>
        </w:rPr>
      </w:pPr>
      <w:proofErr w:type="spellStart"/>
      <w:r w:rsidRPr="006741D4">
        <w:rPr>
          <w:szCs w:val="28"/>
          <w:lang w:val="uk-UA"/>
        </w:rPr>
        <w:t>Rosanuallon</w:t>
      </w:r>
      <w:proofErr w:type="spellEnd"/>
      <w:r w:rsidRPr="006741D4">
        <w:rPr>
          <w:szCs w:val="28"/>
          <w:lang w:val="uk-UA"/>
        </w:rPr>
        <w:t xml:space="preserve"> P. </w:t>
      </w:r>
      <w:proofErr w:type="spellStart"/>
      <w:r w:rsidRPr="006741D4">
        <w:rPr>
          <w:szCs w:val="28"/>
          <w:lang w:val="uk-UA"/>
        </w:rPr>
        <w:t>Democratic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Legitimacy</w:t>
      </w:r>
      <w:proofErr w:type="spellEnd"/>
      <w:r w:rsidRPr="006741D4">
        <w:rPr>
          <w:szCs w:val="28"/>
          <w:lang w:val="uk-UA"/>
        </w:rPr>
        <w:t xml:space="preserve">: </w:t>
      </w:r>
      <w:proofErr w:type="spellStart"/>
      <w:r w:rsidRPr="006741D4">
        <w:rPr>
          <w:szCs w:val="28"/>
          <w:lang w:val="uk-UA"/>
        </w:rPr>
        <w:t>Impartiality</w:t>
      </w:r>
      <w:proofErr w:type="spellEnd"/>
      <w:r w:rsidRPr="006741D4">
        <w:rPr>
          <w:szCs w:val="28"/>
          <w:lang w:val="uk-UA"/>
        </w:rPr>
        <w:t xml:space="preserve">, </w:t>
      </w:r>
      <w:proofErr w:type="spellStart"/>
      <w:r w:rsidRPr="006741D4">
        <w:rPr>
          <w:szCs w:val="28"/>
          <w:lang w:val="uk-UA"/>
        </w:rPr>
        <w:t>Reflexivity</w:t>
      </w:r>
      <w:proofErr w:type="spellEnd"/>
      <w:r w:rsidRPr="006741D4">
        <w:rPr>
          <w:szCs w:val="28"/>
          <w:lang w:val="uk-UA"/>
        </w:rPr>
        <w:t xml:space="preserve"> / </w:t>
      </w:r>
      <w:proofErr w:type="spellStart"/>
      <w:r w:rsidRPr="006741D4">
        <w:rPr>
          <w:szCs w:val="28"/>
          <w:lang w:val="uk-UA"/>
        </w:rPr>
        <w:t>Translated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by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Arthur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Goldhammer</w:t>
      </w:r>
      <w:proofErr w:type="spellEnd"/>
      <w:r w:rsidRPr="006741D4">
        <w:rPr>
          <w:szCs w:val="28"/>
          <w:lang w:val="uk-UA"/>
        </w:rPr>
        <w:t xml:space="preserve">. </w:t>
      </w:r>
      <w:proofErr w:type="spellStart"/>
      <w:r w:rsidRPr="006741D4">
        <w:rPr>
          <w:szCs w:val="28"/>
          <w:lang w:val="uk-UA"/>
        </w:rPr>
        <w:t>Princeton</w:t>
      </w:r>
      <w:proofErr w:type="spellEnd"/>
      <w:r w:rsidRPr="006741D4">
        <w:rPr>
          <w:szCs w:val="28"/>
          <w:lang w:val="uk-UA"/>
        </w:rPr>
        <w:t xml:space="preserve">: </w:t>
      </w:r>
      <w:proofErr w:type="spellStart"/>
      <w:r w:rsidRPr="006741D4">
        <w:rPr>
          <w:szCs w:val="28"/>
          <w:lang w:val="uk-UA"/>
        </w:rPr>
        <w:t>Princeton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University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Press</w:t>
      </w:r>
      <w:proofErr w:type="spellEnd"/>
      <w:r w:rsidRPr="006741D4">
        <w:rPr>
          <w:szCs w:val="28"/>
          <w:lang w:val="uk-UA"/>
        </w:rPr>
        <w:t>, 2011. 248 p.</w:t>
      </w:r>
    </w:p>
    <w:p w:rsidR="004C2B1E" w:rsidRDefault="004C2B1E"/>
    <w:sectPr w:rsidR="004C2B1E" w:rsidSect="00510E1E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F6371"/>
    <w:multiLevelType w:val="hybridMultilevel"/>
    <w:tmpl w:val="A43C1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31011"/>
    <w:multiLevelType w:val="hybridMultilevel"/>
    <w:tmpl w:val="2A3A7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E1E"/>
    <w:rsid w:val="004C2B1E"/>
    <w:rsid w:val="0051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1E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510E1E"/>
    <w:pPr>
      <w:spacing w:line="240" w:lineRule="auto"/>
      <w:ind w:firstLine="0"/>
      <w:jc w:val="left"/>
    </w:pPr>
    <w:rPr>
      <w:rFonts w:ascii="Calibri" w:hAnsi="Calibri"/>
      <w:sz w:val="20"/>
      <w:szCs w:val="20"/>
      <w:lang w:val="uk-UA"/>
    </w:rPr>
  </w:style>
  <w:style w:type="character" w:customStyle="1" w:styleId="a4">
    <w:name w:val="Текст сноски Знак"/>
    <w:basedOn w:val="a0"/>
    <w:link w:val="a3"/>
    <w:rsid w:val="00510E1E"/>
    <w:rPr>
      <w:rFonts w:ascii="Calibri" w:eastAsia="Calibri" w:hAnsi="Calibri" w:cs="Times New Roman"/>
      <w:sz w:val="20"/>
      <w:szCs w:val="20"/>
      <w:lang w:val="uk-UA"/>
    </w:rPr>
  </w:style>
  <w:style w:type="paragraph" w:styleId="a5">
    <w:name w:val="Body Text"/>
    <w:basedOn w:val="a"/>
    <w:link w:val="a6"/>
    <w:rsid w:val="00510E1E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510E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aliases w:val="Обычный (Web)"/>
    <w:basedOn w:val="a"/>
    <w:uiPriority w:val="99"/>
    <w:unhideWhenUsed/>
    <w:rsid w:val="00510E1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1E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510E1E"/>
    <w:pPr>
      <w:spacing w:line="240" w:lineRule="auto"/>
      <w:ind w:firstLine="0"/>
      <w:jc w:val="left"/>
    </w:pPr>
    <w:rPr>
      <w:rFonts w:ascii="Calibri" w:hAnsi="Calibri"/>
      <w:sz w:val="20"/>
      <w:szCs w:val="20"/>
      <w:lang w:val="uk-UA"/>
    </w:rPr>
  </w:style>
  <w:style w:type="character" w:customStyle="1" w:styleId="a4">
    <w:name w:val="Текст сноски Знак"/>
    <w:basedOn w:val="a0"/>
    <w:link w:val="a3"/>
    <w:rsid w:val="00510E1E"/>
    <w:rPr>
      <w:rFonts w:ascii="Calibri" w:eastAsia="Calibri" w:hAnsi="Calibri" w:cs="Times New Roman"/>
      <w:sz w:val="20"/>
      <w:szCs w:val="20"/>
      <w:lang w:val="uk-UA"/>
    </w:rPr>
  </w:style>
  <w:style w:type="paragraph" w:styleId="a5">
    <w:name w:val="Body Text"/>
    <w:basedOn w:val="a"/>
    <w:link w:val="a6"/>
    <w:rsid w:val="00510E1E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510E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aliases w:val="Обычный (Web)"/>
    <w:basedOn w:val="a"/>
    <w:uiPriority w:val="99"/>
    <w:unhideWhenUsed/>
    <w:rsid w:val="00510E1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2023-01-23T08:19:00Z</dcterms:created>
  <dcterms:modified xsi:type="dcterms:W3CDTF">2023-01-23T08:19:00Z</dcterms:modified>
</cp:coreProperties>
</file>