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F6" w:rsidRPr="004949F6" w:rsidRDefault="008301DC" w:rsidP="004949F6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9F6">
        <w:rPr>
          <w:rFonts w:ascii="Times New Roman" w:hAnsi="Times New Roman" w:cs="Times New Roman"/>
          <w:b/>
          <w:sz w:val="28"/>
          <w:szCs w:val="28"/>
          <w:lang w:val="ru-RU"/>
        </w:rPr>
        <w:t>Змістовий модуль 1. Походження і використання собак</w:t>
      </w:r>
    </w:p>
    <w:p w:rsidR="000740B3" w:rsidRPr="004949F6" w:rsidRDefault="008301DC" w:rsidP="004949F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949F6">
        <w:rPr>
          <w:rFonts w:ascii="Times New Roman" w:hAnsi="Times New Roman" w:cs="Times New Roman"/>
          <w:sz w:val="28"/>
          <w:szCs w:val="28"/>
          <w:lang w:val="ru-RU"/>
        </w:rPr>
        <w:t xml:space="preserve"> Кінологія – наука про собак. Мисливська кінологія. Походження собак. Теорії походження домашніх собак. Призначення собак. Напрями собаківництва. Значення собаківництва в народному господарстві. Кінологічні організації та спілки. Породні групи мисливських собак. Породи мисливських собак. Константність і пластичність породи. Відріддя, внутрішньопородний тип, лінія, родина. Примітивні породи, перехідні породи, заводські (культурні) породи.</w:t>
      </w:r>
    </w:p>
    <w:sectPr w:rsidR="000740B3" w:rsidRPr="004949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1D"/>
    <w:rsid w:val="000740B3"/>
    <w:rsid w:val="0026551D"/>
    <w:rsid w:val="004949F6"/>
    <w:rsid w:val="008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0211"/>
  <w15:chartTrackingRefBased/>
  <w15:docId w15:val="{FC07E16A-61C2-4A5A-BFB4-6A9AC1B7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2023-01-25T19:46:00Z</dcterms:created>
  <dcterms:modified xsi:type="dcterms:W3CDTF">2023-01-26T04:35:00Z</dcterms:modified>
</cp:coreProperties>
</file>