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AB" w:rsidRPr="005D43AB" w:rsidRDefault="005D43AB" w:rsidP="005D43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43AB">
        <w:rPr>
          <w:rFonts w:ascii="Times New Roman" w:eastAsia="Calibri" w:hAnsi="Times New Roman" w:cs="Times New Roman"/>
          <w:sz w:val="28"/>
          <w:szCs w:val="28"/>
        </w:rPr>
        <w:t>МІНІСТЕРСТВО ОСВІТИ І НАУКИ УКРАЇНИ</w:t>
      </w:r>
    </w:p>
    <w:p w:rsidR="005D43AB" w:rsidRPr="005D43AB" w:rsidRDefault="005D43AB" w:rsidP="005D43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3AB">
        <w:rPr>
          <w:rFonts w:ascii="Times New Roman" w:eastAsia="Calibri" w:hAnsi="Times New Roman" w:cs="Times New Roman"/>
          <w:sz w:val="28"/>
          <w:szCs w:val="28"/>
        </w:rPr>
        <w:t>ЗАПОРІЗЬКИЙ НАЦІОНАЛЬНИЙ УНІВЕРСИТЕТ</w:t>
      </w:r>
    </w:p>
    <w:p w:rsidR="005D43AB" w:rsidRPr="005D43AB" w:rsidRDefault="00D8726D" w:rsidP="005D43A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aps/>
          <w:sz w:val="28"/>
          <w:szCs w:val="28"/>
          <w:lang w:val="uk-UA"/>
        </w:rPr>
        <w:t xml:space="preserve">ФІЛОЛОГІЧНИЙ </w:t>
      </w:r>
      <w:r w:rsidR="005D43AB" w:rsidRPr="005D43AB">
        <w:rPr>
          <w:rFonts w:ascii="Times New Roman" w:eastAsia="Calibri" w:hAnsi="Times New Roman" w:cs="Times New Roman"/>
          <w:caps/>
          <w:sz w:val="28"/>
          <w:szCs w:val="28"/>
        </w:rPr>
        <w:t>Факультет</w:t>
      </w:r>
    </w:p>
    <w:p w:rsidR="005D43AB" w:rsidRPr="00D8726D" w:rsidRDefault="005D43AB" w:rsidP="005D43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D43AB">
        <w:rPr>
          <w:rFonts w:ascii="Times New Roman" w:eastAsia="Calibri" w:hAnsi="Times New Roman" w:cs="Times New Roman"/>
          <w:caps/>
          <w:sz w:val="28"/>
          <w:lang w:val="uk-UA"/>
        </w:rPr>
        <w:t>Кафедр</w:t>
      </w:r>
      <w:r w:rsidRPr="00D8726D">
        <w:rPr>
          <w:rFonts w:ascii="Times New Roman" w:eastAsia="Calibri" w:hAnsi="Times New Roman" w:cs="Times New Roman"/>
          <w:caps/>
          <w:sz w:val="28"/>
          <w:lang w:val="uk-UA"/>
        </w:rPr>
        <w:t>а</w:t>
      </w:r>
      <w:r w:rsidRPr="00D872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8726D">
        <w:rPr>
          <w:rFonts w:ascii="Times New Roman" w:eastAsia="Calibri" w:hAnsi="Times New Roman" w:cs="Times New Roman"/>
          <w:sz w:val="28"/>
          <w:szCs w:val="28"/>
          <w:lang w:val="uk-UA"/>
        </w:rPr>
        <w:t>СЛОВ</w:t>
      </w:r>
      <w:r w:rsidR="00D8726D">
        <w:rPr>
          <w:rFonts w:ascii="Times New Roman" w:eastAsia="Calibri" w:hAnsi="Times New Roman" w:cs="Times New Roman"/>
          <w:sz w:val="28"/>
          <w:szCs w:val="28"/>
          <w:lang w:val="en-US"/>
        </w:rPr>
        <w:t>’</w:t>
      </w:r>
      <w:r w:rsidR="00D8726D">
        <w:rPr>
          <w:rFonts w:ascii="Times New Roman" w:eastAsia="Calibri" w:hAnsi="Times New Roman" w:cs="Times New Roman"/>
          <w:sz w:val="28"/>
          <w:szCs w:val="28"/>
          <w:lang w:val="uk-UA"/>
        </w:rPr>
        <w:t>ЯНСЬКОЇ ФІЛОЛОГІЇ</w:t>
      </w:r>
    </w:p>
    <w:p w:rsidR="005D43AB" w:rsidRPr="005D43AB" w:rsidRDefault="005D43AB" w:rsidP="005D43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D43AB" w:rsidRPr="005D43AB" w:rsidRDefault="005D43AB" w:rsidP="005D43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D43AB">
        <w:rPr>
          <w:rFonts w:ascii="Times New Roman" w:eastAsia="Calibri" w:hAnsi="Times New Roman" w:cs="Times New Roman"/>
          <w:b/>
          <w:sz w:val="28"/>
          <w:lang w:val="uk-UA"/>
        </w:rPr>
        <w:t xml:space="preserve">                                                       </w:t>
      </w:r>
      <w:r w:rsidRPr="005D43AB">
        <w:rPr>
          <w:rFonts w:ascii="Times New Roman" w:eastAsia="Calibri" w:hAnsi="Times New Roman" w:cs="Times New Roman"/>
          <w:b/>
          <w:sz w:val="28"/>
        </w:rPr>
        <w:t>ЗАТВЕРДЖУЮ</w:t>
      </w:r>
    </w:p>
    <w:p w:rsidR="005D43AB" w:rsidRPr="005D43AB" w:rsidRDefault="005D43AB" w:rsidP="005D43AB">
      <w:pPr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</w:p>
    <w:p w:rsidR="005D43AB" w:rsidRPr="005D43AB" w:rsidRDefault="00D8726D" w:rsidP="005D43AB">
      <w:pPr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lang w:val="uk-UA"/>
        </w:rPr>
        <w:t>В.о. д</w:t>
      </w:r>
      <w:proofErr w:type="spellStart"/>
      <w:r>
        <w:rPr>
          <w:rFonts w:ascii="Times New Roman" w:eastAsia="Calibri" w:hAnsi="Times New Roman" w:cs="Times New Roman"/>
          <w:sz w:val="28"/>
        </w:rPr>
        <w:t>екан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>а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філологічного </w:t>
      </w:r>
      <w:r w:rsidR="005D43AB" w:rsidRPr="005D43AB">
        <w:rPr>
          <w:rFonts w:ascii="Times New Roman" w:eastAsia="Calibri" w:hAnsi="Times New Roman" w:cs="Times New Roman"/>
          <w:sz w:val="28"/>
        </w:rPr>
        <w:t xml:space="preserve">факультету </w:t>
      </w:r>
    </w:p>
    <w:p w:rsidR="005D43AB" w:rsidRPr="005D43AB" w:rsidRDefault="005D43AB" w:rsidP="005D43AB">
      <w:pPr>
        <w:spacing w:after="0" w:line="240" w:lineRule="auto"/>
        <w:ind w:left="5400"/>
        <w:rPr>
          <w:rFonts w:ascii="Times New Roman" w:eastAsia="Calibri" w:hAnsi="Times New Roman" w:cs="Times New Roman"/>
          <w:sz w:val="28"/>
        </w:rPr>
      </w:pPr>
    </w:p>
    <w:p w:rsidR="005D43AB" w:rsidRPr="005D43AB" w:rsidRDefault="005D43AB" w:rsidP="005D43AB">
      <w:pPr>
        <w:spacing w:after="0" w:line="240" w:lineRule="auto"/>
        <w:ind w:left="5400"/>
        <w:rPr>
          <w:rFonts w:ascii="Times New Roman" w:eastAsia="Calibri" w:hAnsi="Times New Roman" w:cs="Times New Roman"/>
          <w:sz w:val="16"/>
        </w:rPr>
      </w:pPr>
      <w:r w:rsidRPr="005D43AB">
        <w:rPr>
          <w:rFonts w:ascii="Times New Roman" w:eastAsia="Calibri" w:hAnsi="Times New Roman" w:cs="Times New Roman"/>
          <w:sz w:val="28"/>
          <w:szCs w:val="28"/>
        </w:rPr>
        <w:t xml:space="preserve">  ______        </w:t>
      </w:r>
      <w:r w:rsidR="00D8726D">
        <w:rPr>
          <w:rFonts w:ascii="Times New Roman" w:eastAsia="Calibri" w:hAnsi="Times New Roman" w:cs="Times New Roman"/>
          <w:sz w:val="28"/>
          <w:szCs w:val="28"/>
          <w:lang w:val="uk-UA"/>
        </w:rPr>
        <w:t>Бондаренко І. С.</w:t>
      </w:r>
      <w:r w:rsidRPr="005D43AB">
        <w:rPr>
          <w:rFonts w:ascii="Times New Roman" w:eastAsia="Calibri" w:hAnsi="Times New Roman" w:cs="Times New Roman"/>
          <w:sz w:val="16"/>
        </w:rPr>
        <w:t xml:space="preserve"> </w:t>
      </w:r>
    </w:p>
    <w:p w:rsidR="005D43AB" w:rsidRPr="00266B4D" w:rsidRDefault="00D8726D" w:rsidP="005D43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</w:rPr>
        <w:t>«_____</w:t>
      </w:r>
      <w:proofErr w:type="gramStart"/>
      <w:r>
        <w:rPr>
          <w:rFonts w:ascii="Times New Roman" w:eastAsia="Calibri" w:hAnsi="Times New Roman" w:cs="Times New Roman"/>
          <w:sz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</w:rPr>
        <w:t>______________2022</w:t>
      </w:r>
    </w:p>
    <w:p w:rsidR="005D43AB" w:rsidRPr="005D43AB" w:rsidRDefault="005D43AB" w:rsidP="005D43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5D43AB" w:rsidRDefault="005D43AB" w:rsidP="005D4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D43AB" w:rsidRDefault="00D8726D" w:rsidP="00D87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МЕДІАКОМУНІКАЦІЇ У</w:t>
      </w:r>
    </w:p>
    <w:p w:rsidR="00D8726D" w:rsidRPr="005D43AB" w:rsidRDefault="00D8726D" w:rsidP="00D872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СОЦІОКУЛЬТУРНОМУ ПРОСТОРІ</w:t>
      </w:r>
    </w:p>
    <w:p w:rsidR="005D43AB" w:rsidRPr="005D43AB" w:rsidRDefault="005D43AB" w:rsidP="005D43AB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D43AB">
        <w:rPr>
          <w:rFonts w:ascii="Times New Roman" w:eastAsia="Calibri" w:hAnsi="Times New Roman" w:cs="Times New Roman"/>
          <w:iCs/>
          <w:sz w:val="28"/>
          <w:szCs w:val="28"/>
        </w:rPr>
        <w:t xml:space="preserve">РОБОЧА ПРОГРАМА </w:t>
      </w:r>
      <w:r w:rsidR="00EE2C0A">
        <w:rPr>
          <w:rFonts w:ascii="Times New Roman" w:eastAsia="Calibri" w:hAnsi="Times New Roman" w:cs="Times New Roman"/>
          <w:iCs/>
          <w:sz w:val="28"/>
          <w:szCs w:val="28"/>
          <w:lang w:val="uk-UA"/>
        </w:rPr>
        <w:t xml:space="preserve">ВИБІРКОВОЇ </w:t>
      </w:r>
      <w:r w:rsidRPr="005D43AB">
        <w:rPr>
          <w:rFonts w:ascii="Times New Roman" w:eastAsia="Calibri" w:hAnsi="Times New Roman" w:cs="Times New Roman"/>
          <w:iCs/>
          <w:sz w:val="28"/>
          <w:szCs w:val="28"/>
        </w:rPr>
        <w:t>НАВЧАЛЬНОЇ ДИСЦИПЛІНИ</w:t>
      </w:r>
      <w:r w:rsidRPr="005D43A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D8726D" w:rsidRPr="00CA0867" w:rsidRDefault="00EE2C0A" w:rsidP="00D87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підготовки ма</w:t>
      </w:r>
      <w:r w:rsidR="00D8726D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гістра</w:t>
      </w:r>
    </w:p>
    <w:p w:rsidR="00D8726D" w:rsidRPr="00CA0867" w:rsidRDefault="00D8726D" w:rsidP="00D87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  <w:lang w:val="uk-UA" w:eastAsia="ar-SA"/>
        </w:rPr>
      </w:pPr>
      <w:r w:rsidRPr="00CA0867">
        <w:rPr>
          <w:rFonts w:ascii="Times New Roman" w:eastAsia="Calibri" w:hAnsi="Times New Roman" w:cs="Times New Roman"/>
          <w:iCs/>
          <w:sz w:val="28"/>
          <w:szCs w:val="28"/>
          <w:lang w:val="uk-UA" w:eastAsia="ar-SA"/>
        </w:rPr>
        <w:t>очної (денної) та заочної (дистанційної) форм здобуття освіти</w:t>
      </w:r>
    </w:p>
    <w:p w:rsidR="00D8726D" w:rsidRPr="00CA0867" w:rsidRDefault="00D8726D" w:rsidP="00D87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A086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спеціальності </w:t>
      </w:r>
      <w:r w:rsidRPr="00CA086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  <w:t xml:space="preserve"> </w:t>
      </w:r>
      <w:r w:rsidR="007700A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035 Філологія</w:t>
      </w:r>
    </w:p>
    <w:p w:rsidR="00D8726D" w:rsidRPr="007700A5" w:rsidRDefault="00D8726D" w:rsidP="00D87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A0867">
        <w:rPr>
          <w:rFonts w:ascii="Times New Roman" w:eastAsia="Calibri" w:hAnsi="Times New Roman" w:cs="Times New Roman"/>
          <w:sz w:val="16"/>
          <w:szCs w:val="16"/>
          <w:lang w:val="uk-UA" w:eastAsia="ar-SA"/>
        </w:rPr>
        <w:t xml:space="preserve">       </w:t>
      </w:r>
      <w:r w:rsidRPr="00CA086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спеціалізації / предметної спеціальності </w:t>
      </w:r>
      <w:r w:rsidRPr="00CA086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="007700A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035.033 Слов</w:t>
      </w:r>
      <w:r w:rsidR="007700A5" w:rsidRPr="007700A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’</w:t>
      </w:r>
      <w:r w:rsidR="007700A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янські мови та літератури (переклад включно), перша – польська </w:t>
      </w:r>
    </w:p>
    <w:p w:rsidR="00D8726D" w:rsidRPr="00CA0867" w:rsidRDefault="00D8726D" w:rsidP="00D872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CA086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Pr="00CA0867">
        <w:rPr>
          <w:rFonts w:ascii="Times New Roman" w:eastAsia="Calibri" w:hAnsi="Times New Roman" w:cs="Times New Roman"/>
          <w:sz w:val="28"/>
          <w:szCs w:val="28"/>
          <w:lang w:val="uk-UA" w:eastAsia="ar-SA"/>
        </w:rPr>
        <w:tab/>
      </w:r>
      <w:r w:rsidR="007700A5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Переклад та міжкультурні комунікації</w:t>
      </w:r>
    </w:p>
    <w:p w:rsidR="005D43AB" w:rsidRPr="005D43AB" w:rsidRDefault="005D43AB" w:rsidP="005D43A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5D43AB" w:rsidRPr="005D43AB" w:rsidRDefault="005D43AB" w:rsidP="005D43A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5D43AB" w:rsidRPr="005D43AB" w:rsidRDefault="005D43AB" w:rsidP="005D43A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43AB" w:rsidRPr="005D43AB" w:rsidRDefault="005D43AB" w:rsidP="00EE2C0A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700A5" w:rsidRPr="00CA0867" w:rsidRDefault="007700A5" w:rsidP="007700A5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CA0867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 xml:space="preserve">Укладачка: Бондаренко І.С., к. </w:t>
      </w:r>
      <w:proofErr w:type="spellStart"/>
      <w:r w:rsidRPr="00CA0867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філол</w:t>
      </w:r>
      <w:proofErr w:type="spellEnd"/>
      <w:r w:rsidRPr="00CA0867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. н., доцент</w:t>
      </w:r>
    </w:p>
    <w:p w:rsidR="007700A5" w:rsidRPr="00CA0867" w:rsidRDefault="007700A5" w:rsidP="007700A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7700A5" w:rsidRPr="00CA0867" w:rsidTr="007700A5">
        <w:tc>
          <w:tcPr>
            <w:tcW w:w="4826" w:type="dxa"/>
          </w:tcPr>
          <w:p w:rsidR="007700A5" w:rsidRPr="00CA0867" w:rsidRDefault="007700A5" w:rsidP="00770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7700A5" w:rsidRDefault="007700A5" w:rsidP="00770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на засіданні кафедри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слов</w:t>
            </w:r>
            <w:r w:rsidRPr="007700A5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янської філології</w:t>
            </w:r>
          </w:p>
          <w:p w:rsidR="007700A5" w:rsidRPr="00CA0867" w:rsidRDefault="007700A5" w:rsidP="00770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Протокол № 1 від “30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серпня 2022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7700A5" w:rsidRPr="00CA0867" w:rsidRDefault="007700A5" w:rsidP="00770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Завідувач кафедри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слов</w:t>
            </w:r>
            <w:r w:rsidRPr="007700A5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янської філології</w:t>
            </w:r>
          </w:p>
          <w:p w:rsidR="007700A5" w:rsidRPr="00CA0867" w:rsidRDefault="007700A5" w:rsidP="00770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____________     І. Я. Павленко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7700A5" w:rsidRPr="00CA0867" w:rsidRDefault="007700A5" w:rsidP="00770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uk-UA" w:eastAsia="ar-SA"/>
              </w:rPr>
            </w:pPr>
          </w:p>
        </w:tc>
        <w:tc>
          <w:tcPr>
            <w:tcW w:w="4745" w:type="dxa"/>
          </w:tcPr>
          <w:p w:rsidR="007700A5" w:rsidRPr="00CA0867" w:rsidRDefault="007700A5" w:rsidP="007700A5">
            <w:pPr>
              <w:suppressAutoHyphens/>
              <w:spacing w:after="0" w:line="240" w:lineRule="auto"/>
              <w:ind w:left="35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Ухвалено науково-методичною радою </w:t>
            </w:r>
          </w:p>
          <w:p w:rsidR="007700A5" w:rsidRPr="007700A5" w:rsidRDefault="007700A5" w:rsidP="00770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філологічного 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факультету </w:t>
            </w:r>
          </w:p>
          <w:p w:rsidR="007700A5" w:rsidRPr="00CA0867" w:rsidRDefault="007700A5" w:rsidP="00770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Протокол № 1 від  “31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”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серпня 2022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7700A5" w:rsidRPr="00CA0867" w:rsidRDefault="007700A5" w:rsidP="00770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Голова науково-методичної ради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філологічного </w:t>
            </w: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факультету </w:t>
            </w:r>
          </w:p>
          <w:p w:rsidR="007700A5" w:rsidRPr="00CA0867" w:rsidRDefault="007700A5" w:rsidP="007700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CA0867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___________       І. 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Мацегора</w:t>
            </w:r>
            <w:proofErr w:type="spellEnd"/>
          </w:p>
          <w:p w:rsidR="007700A5" w:rsidRPr="00CA0867" w:rsidRDefault="007700A5" w:rsidP="007700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5D43AB" w:rsidRDefault="005D43AB" w:rsidP="005D43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E2C0A" w:rsidRPr="00EE2C0A" w:rsidTr="00B564C1">
        <w:trPr>
          <w:trHeight w:val="1477"/>
        </w:trPr>
        <w:tc>
          <w:tcPr>
            <w:tcW w:w="4785" w:type="dxa"/>
          </w:tcPr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Погоджено 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 навчально-методичним відділом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________________________________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786" w:type="dxa"/>
          </w:tcPr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Погоджено  з навчальною лабораторією інформаційного забезпечення освітнього процесу</w:t>
            </w:r>
          </w:p>
          <w:p w:rsidR="00EE2C0A" w:rsidRPr="00EE2C0A" w:rsidRDefault="00EE2C0A" w:rsidP="00EE2C0A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16"/>
                <w:szCs w:val="16"/>
                <w:lang w:val="uk-UA" w:eastAsia="ar-SA"/>
              </w:rPr>
              <w:t xml:space="preserve">          (підпис)                                                     (ініціали, прізвище)</w:t>
            </w:r>
          </w:p>
        </w:tc>
      </w:tr>
    </w:tbl>
    <w:p w:rsidR="007700A5" w:rsidRDefault="007700A5" w:rsidP="005D43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EE2C0A" w:rsidRDefault="00EE2C0A" w:rsidP="005D43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</w:rPr>
      </w:pPr>
      <w:bookmarkStart w:id="0" w:name="_GoBack"/>
      <w:bookmarkEnd w:id="0"/>
    </w:p>
    <w:p w:rsidR="007700A5" w:rsidRPr="007700A5" w:rsidRDefault="007700A5" w:rsidP="007700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lang w:val="uk-UA"/>
        </w:rPr>
        <w:t>2022</w:t>
      </w:r>
    </w:p>
    <w:p w:rsidR="005D43AB" w:rsidRPr="005D43AB" w:rsidRDefault="005D43AB" w:rsidP="005D43A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3AB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5D43AB" w:rsidRPr="005D43AB" w:rsidRDefault="005D43AB" w:rsidP="005D43AB">
      <w:pPr>
        <w:spacing w:before="120" w:after="120"/>
        <w:rPr>
          <w:rFonts w:ascii="Times New Roman" w:eastAsia="Calibri" w:hAnsi="Times New Roman" w:cs="Times New Roman"/>
          <w:sz w:val="28"/>
          <w:lang w:val="uk-UA"/>
        </w:rPr>
      </w:pPr>
    </w:p>
    <w:p w:rsidR="005D43AB" w:rsidRPr="005D43AB" w:rsidRDefault="005D43AB" w:rsidP="005D43A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5D43AB">
        <w:rPr>
          <w:rFonts w:ascii="Times New Roman" w:eastAsia="Calibri" w:hAnsi="Times New Roman" w:cs="Times New Roman"/>
          <w:b/>
          <w:sz w:val="28"/>
          <w:szCs w:val="28"/>
        </w:rPr>
        <w:t>Опис</w:t>
      </w:r>
      <w:proofErr w:type="spellEnd"/>
      <w:r w:rsidRPr="005D43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D43AB">
        <w:rPr>
          <w:rFonts w:ascii="Times New Roman" w:eastAsia="Calibri" w:hAnsi="Times New Roman" w:cs="Times New Roman"/>
          <w:b/>
          <w:sz w:val="28"/>
          <w:szCs w:val="28"/>
        </w:rPr>
        <w:t>навчальної</w:t>
      </w:r>
      <w:proofErr w:type="spellEnd"/>
      <w:r w:rsidRPr="005D43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D43AB">
        <w:rPr>
          <w:rFonts w:ascii="Times New Roman" w:eastAsia="Calibri" w:hAnsi="Times New Roman" w:cs="Times New Roman"/>
          <w:b/>
          <w:sz w:val="28"/>
          <w:szCs w:val="28"/>
        </w:rPr>
        <w:t>дисципліни</w:t>
      </w:r>
      <w:proofErr w:type="spellEnd"/>
    </w:p>
    <w:p w:rsidR="005D43AB" w:rsidRDefault="005D43AB" w:rsidP="005D43AB">
      <w:pPr>
        <w:spacing w:after="0" w:line="240" w:lineRule="auto"/>
        <w:rPr>
          <w:rFonts w:ascii="Times New Roman" w:eastAsia="Calibri" w:hAnsi="Times New Roman" w:cs="Times New Roman"/>
          <w:sz w:val="24"/>
          <w:lang w:val="uk-UA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EE2C0A" w:rsidRPr="00EE2C0A" w:rsidTr="00B564C1">
        <w:trPr>
          <w:trHeight w:val="110"/>
        </w:trPr>
        <w:tc>
          <w:tcPr>
            <w:tcW w:w="3119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976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</w:tr>
      <w:tr w:rsidR="00EE2C0A" w:rsidRPr="00EE2C0A" w:rsidTr="00B564C1">
        <w:trPr>
          <w:trHeight w:val="671"/>
        </w:trPr>
        <w:tc>
          <w:tcPr>
            <w:tcW w:w="3119" w:type="dxa"/>
            <w:vMerge w:val="restart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 xml:space="preserve">Галузь знань, спеціальність, 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освітня програма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Характеристика навчальної дисципліни</w:t>
            </w:r>
          </w:p>
        </w:tc>
      </w:tr>
      <w:tr w:rsidR="00EE2C0A" w:rsidRPr="00EE2C0A" w:rsidTr="00B564C1">
        <w:trPr>
          <w:trHeight w:val="643"/>
        </w:trPr>
        <w:tc>
          <w:tcPr>
            <w:tcW w:w="3119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03" w:type="dxa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очна (денна) форма здобуття освіти</w:t>
            </w:r>
          </w:p>
        </w:tc>
        <w:tc>
          <w:tcPr>
            <w:tcW w:w="1800" w:type="dxa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заочна (дистанційна)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форма здобуття освіти</w:t>
            </w:r>
          </w:p>
        </w:tc>
      </w:tr>
      <w:tr w:rsidR="00EE2C0A" w:rsidRPr="00EE2C0A" w:rsidTr="00B564C1">
        <w:trPr>
          <w:trHeight w:val="365"/>
        </w:trPr>
        <w:tc>
          <w:tcPr>
            <w:tcW w:w="3119" w:type="dxa"/>
            <w:vMerge w:val="restart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Галузь знань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035 – філологія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EE2C0A" w:rsidRPr="00EE2C0A" w:rsidRDefault="00EE2C0A" w:rsidP="00EE2C0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Кількість кредитів – 3 </w:t>
            </w:r>
          </w:p>
        </w:tc>
        <w:tc>
          <w:tcPr>
            <w:tcW w:w="3303" w:type="dxa"/>
            <w:gridSpan w:val="2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Вибіркова</w:t>
            </w:r>
            <w:r w:rsidRPr="00EE2C0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  </w:t>
            </w:r>
          </w:p>
        </w:tc>
      </w:tr>
      <w:tr w:rsidR="00EE2C0A" w:rsidRPr="00EE2C0A" w:rsidTr="00B564C1">
        <w:trPr>
          <w:trHeight w:val="480"/>
        </w:trPr>
        <w:tc>
          <w:tcPr>
            <w:tcW w:w="3119" w:type="dxa"/>
            <w:vMerge/>
          </w:tcPr>
          <w:p w:rsidR="00EE2C0A" w:rsidRPr="00EE2C0A" w:rsidRDefault="00EE2C0A" w:rsidP="00EE2C0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Цикл професійної підготовки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EE2C0A" w:rsidRPr="00EE2C0A" w:rsidTr="00B564C1">
        <w:trPr>
          <w:trHeight w:val="631"/>
        </w:trPr>
        <w:tc>
          <w:tcPr>
            <w:tcW w:w="3119" w:type="dxa"/>
            <w:vMerge w:val="restart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Спеціальність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035.033 Слов’янські мови та літератури (переклад включно), перша – польська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EE2C0A" w:rsidRPr="00EE2C0A" w:rsidRDefault="00EE2C0A" w:rsidP="00EE2C0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Загальна кількість годин – 90</w:t>
            </w:r>
          </w:p>
        </w:tc>
        <w:tc>
          <w:tcPr>
            <w:tcW w:w="3303" w:type="dxa"/>
            <w:gridSpan w:val="2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 xml:space="preserve">Семестр: </w:t>
            </w:r>
          </w:p>
        </w:tc>
      </w:tr>
      <w:tr w:rsidR="00EE2C0A" w:rsidRPr="00EE2C0A" w:rsidTr="00B564C1">
        <w:trPr>
          <w:trHeight w:val="364"/>
        </w:trPr>
        <w:tc>
          <w:tcPr>
            <w:tcW w:w="3119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1-й</w:t>
            </w:r>
          </w:p>
        </w:tc>
        <w:tc>
          <w:tcPr>
            <w:tcW w:w="1800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1-й</w:t>
            </w:r>
          </w:p>
        </w:tc>
      </w:tr>
      <w:tr w:rsidR="00EE2C0A" w:rsidRPr="00EE2C0A" w:rsidTr="00B564C1">
        <w:trPr>
          <w:trHeight w:val="47"/>
        </w:trPr>
        <w:tc>
          <w:tcPr>
            <w:tcW w:w="3119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Змістових модулів – 4</w:t>
            </w:r>
          </w:p>
        </w:tc>
        <w:tc>
          <w:tcPr>
            <w:tcW w:w="3303" w:type="dxa"/>
            <w:gridSpan w:val="2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Лекції</w:t>
            </w:r>
          </w:p>
        </w:tc>
      </w:tr>
      <w:tr w:rsidR="00EE2C0A" w:rsidRPr="00EE2C0A" w:rsidTr="00B564C1">
        <w:trPr>
          <w:trHeight w:val="320"/>
        </w:trPr>
        <w:tc>
          <w:tcPr>
            <w:tcW w:w="3119" w:type="dxa"/>
            <w:vMerge w:val="restart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Освітньо-професійна програма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Переклад та міжкультурні комунікації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22 год.</w:t>
            </w:r>
          </w:p>
        </w:tc>
        <w:tc>
          <w:tcPr>
            <w:tcW w:w="1800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10 год.</w:t>
            </w:r>
          </w:p>
        </w:tc>
      </w:tr>
      <w:tr w:rsidR="00EE2C0A" w:rsidRPr="00EE2C0A" w:rsidTr="00B564C1">
        <w:trPr>
          <w:trHeight w:val="1066"/>
        </w:trPr>
        <w:tc>
          <w:tcPr>
            <w:tcW w:w="3119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Практичні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 w:eastAsia="ar-SA"/>
              </w:rPr>
            </w:pPr>
          </w:p>
        </w:tc>
      </w:tr>
      <w:tr w:rsidR="00EE2C0A" w:rsidRPr="00EE2C0A" w:rsidTr="00B564C1">
        <w:trPr>
          <w:trHeight w:val="562"/>
        </w:trPr>
        <w:tc>
          <w:tcPr>
            <w:tcW w:w="3119" w:type="dxa"/>
            <w:vMerge w:val="restart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Рівень вищої освіти:</w:t>
            </w:r>
            <w:r w:rsidRPr="00EE2C0A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 xml:space="preserve"> 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  <w:t>магістерський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Кількість поточних контрольних заходів – 8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00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E2C0A" w:rsidRPr="00EE2C0A" w:rsidTr="00B564C1">
        <w:trPr>
          <w:trHeight w:val="138"/>
        </w:trPr>
        <w:tc>
          <w:tcPr>
            <w:tcW w:w="3119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Самостійна робота</w:t>
            </w:r>
          </w:p>
        </w:tc>
      </w:tr>
      <w:tr w:rsidR="00EE2C0A" w:rsidRPr="00EE2C0A" w:rsidTr="00B564C1">
        <w:trPr>
          <w:trHeight w:val="138"/>
        </w:trPr>
        <w:tc>
          <w:tcPr>
            <w:tcW w:w="3119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03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68 год.</w:t>
            </w:r>
          </w:p>
        </w:tc>
        <w:tc>
          <w:tcPr>
            <w:tcW w:w="1800" w:type="dxa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80 год.</w:t>
            </w:r>
          </w:p>
        </w:tc>
      </w:tr>
      <w:tr w:rsidR="00EE2C0A" w:rsidRPr="00EE2C0A" w:rsidTr="00B564C1">
        <w:trPr>
          <w:trHeight w:val="138"/>
        </w:trPr>
        <w:tc>
          <w:tcPr>
            <w:tcW w:w="3119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6" w:type="dxa"/>
            <w:vMerge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Вид підсумкового семестрового контролю</w:t>
            </w: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</w:p>
          <w:p w:rsidR="00EE2C0A" w:rsidRPr="00EE2C0A" w:rsidRDefault="00EE2C0A" w:rsidP="00EE2C0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val="uk-UA" w:eastAsia="ar-SA"/>
              </w:rPr>
            </w:pPr>
            <w:r w:rsidRPr="00EE2C0A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</w:tbl>
    <w:p w:rsidR="00A349F7" w:rsidRPr="00EE2C0A" w:rsidRDefault="00A349F7" w:rsidP="005D43A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5D43AB" w:rsidRPr="005D43AB" w:rsidRDefault="005D43AB" w:rsidP="005D43A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5D43AB" w:rsidRPr="00811DA1" w:rsidRDefault="005D43AB" w:rsidP="005D43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11DA1">
        <w:rPr>
          <w:rFonts w:ascii="Times New Roman" w:eastAsia="Calibri" w:hAnsi="Times New Roman" w:cs="Times New Roman"/>
          <w:sz w:val="24"/>
          <w:szCs w:val="24"/>
          <w:lang w:val="uk-UA"/>
        </w:rPr>
        <w:t>2. Мета та завдання навчальної дисципліни</w:t>
      </w:r>
    </w:p>
    <w:p w:rsidR="005D43AB" w:rsidRPr="007121B8" w:rsidRDefault="005D43AB" w:rsidP="00A349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121B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Метою</w:t>
      </w:r>
      <w:r w:rsidRPr="0071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викладання навчальної дисципліни «</w:t>
      </w:r>
      <w:proofErr w:type="spellStart"/>
      <w:r w:rsidR="007700A5">
        <w:rPr>
          <w:rFonts w:ascii="Times New Roman" w:eastAsia="Calibri" w:hAnsi="Times New Roman" w:cs="Times New Roman"/>
          <w:sz w:val="24"/>
          <w:szCs w:val="24"/>
          <w:lang w:val="uk-UA"/>
        </w:rPr>
        <w:t>Медіакомунікації</w:t>
      </w:r>
      <w:proofErr w:type="spellEnd"/>
      <w:r w:rsidR="007700A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соціокультурному просторі</w:t>
      </w:r>
      <w:r w:rsidRPr="0071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є формування у студентів системи знань про сутність, структуру, моделі комунікації та базові сучасні комунікаційні технології. Вивчення курсу передбачає </w:t>
      </w:r>
      <w:r w:rsidR="00811D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набуття </w:t>
      </w:r>
      <w:r w:rsidRPr="007121B8">
        <w:rPr>
          <w:rFonts w:ascii="Times New Roman" w:eastAsia="Calibri" w:hAnsi="Times New Roman" w:cs="Times New Roman"/>
          <w:sz w:val="24"/>
          <w:szCs w:val="24"/>
          <w:lang w:val="uk-UA"/>
        </w:rPr>
        <w:t>навичок ефективної комунікації, осягнення майбутніми фахівцями моделі ефективного спілкування в умовах соціальних комунікацій.</w:t>
      </w:r>
    </w:p>
    <w:p w:rsidR="00C65814" w:rsidRPr="00ED51DE" w:rsidRDefault="005D43AB" w:rsidP="00ED51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1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Основними </w:t>
      </w:r>
      <w:r w:rsidRPr="007121B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завданнями</w:t>
      </w:r>
      <w:r w:rsidRPr="007121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вивчення дисципліни «</w:t>
      </w:r>
      <w:proofErr w:type="spellStart"/>
      <w:r w:rsidR="00ED51DE">
        <w:rPr>
          <w:rFonts w:ascii="Times New Roman" w:eastAsia="Calibri" w:hAnsi="Times New Roman" w:cs="Times New Roman"/>
          <w:sz w:val="24"/>
          <w:szCs w:val="24"/>
          <w:lang w:val="uk-UA"/>
        </w:rPr>
        <w:t>Медіакомунікації</w:t>
      </w:r>
      <w:proofErr w:type="spellEnd"/>
      <w:r w:rsidR="00ED51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соціокультурному просторі</w:t>
      </w:r>
      <w:r w:rsidRPr="007121B8">
        <w:rPr>
          <w:rFonts w:ascii="Times New Roman" w:eastAsia="Calibri" w:hAnsi="Times New Roman" w:cs="Times New Roman"/>
          <w:sz w:val="24"/>
          <w:szCs w:val="24"/>
          <w:lang w:val="uk-UA"/>
        </w:rPr>
        <w:t>» є:</w:t>
      </w:r>
      <w:r w:rsidR="00ED51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D51DE" w:rsidRPr="00ED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ознайомлення</w:t>
      </w:r>
      <w:r w:rsidRPr="00ED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студентів з основними принципами масово-комунікаційної діяльності; </w:t>
      </w:r>
      <w:r w:rsidR="00ED51DE">
        <w:rPr>
          <w:rFonts w:ascii="Times New Roman" w:eastAsia="Calibri" w:hAnsi="Times New Roman" w:cs="Times New Roman"/>
          <w:sz w:val="24"/>
          <w:szCs w:val="24"/>
          <w:lang w:val="uk-UA"/>
        </w:rPr>
        <w:t>розуміння</w:t>
      </w:r>
      <w:r w:rsidR="00ED51DE" w:rsidRPr="00ED51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D51DE" w:rsidRPr="00ED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сутності</w:t>
      </w:r>
      <w:r w:rsidRPr="00ED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призначення та завдання кожної з базових комунікаційних технологій; </w:t>
      </w:r>
      <w:r w:rsidR="00ED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оволодіння техніками </w:t>
      </w:r>
      <w:proofErr w:type="spellStart"/>
      <w:r w:rsidR="00ED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медіакомунікації</w:t>
      </w:r>
      <w:proofErr w:type="spellEnd"/>
      <w:r w:rsidR="00ED51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26690" w:rsidRPr="00726690" w:rsidRDefault="00726690" w:rsidP="00726690">
      <w:pPr>
        <w:tabs>
          <w:tab w:val="left" w:pos="284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726690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У результаті вивчення навчальної дисципліни студент повинен набути таких результатів навчання:</w:t>
      </w:r>
    </w:p>
    <w:p w:rsidR="00C65814" w:rsidRPr="00726690" w:rsidRDefault="00726690" w:rsidP="00726690">
      <w:pPr>
        <w:pStyle w:val="a9"/>
        <w:tabs>
          <w:tab w:val="left" w:pos="0"/>
        </w:tabs>
        <w:spacing w:after="0" w:line="240" w:lineRule="auto"/>
        <w:ind w:left="0" w:firstLine="709"/>
        <w:jc w:val="both"/>
        <w:rPr>
          <w:rFonts w:eastAsia="Times New Roman"/>
          <w:sz w:val="24"/>
          <w:szCs w:val="24"/>
          <w:lang w:val="uk-UA" w:eastAsia="ru-RU"/>
        </w:rPr>
      </w:pPr>
      <w:r w:rsidRPr="00726690">
        <w:rPr>
          <w:sz w:val="24"/>
          <w:szCs w:val="24"/>
          <w:lang w:val="uk-UA"/>
        </w:rPr>
        <w:t>знати:</w:t>
      </w:r>
      <w:r>
        <w:rPr>
          <w:sz w:val="24"/>
          <w:szCs w:val="24"/>
          <w:lang w:val="uk-UA"/>
        </w:rPr>
        <w:t xml:space="preserve"> </w:t>
      </w:r>
      <w:r w:rsidR="00C65814" w:rsidRPr="00726690">
        <w:rPr>
          <w:rFonts w:eastAsia="Times New Roman"/>
          <w:sz w:val="24"/>
          <w:szCs w:val="24"/>
          <w:lang w:val="uk-UA" w:eastAsia="ru-RU"/>
        </w:rPr>
        <w:t>умови й критерії ефективної комунікації;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="00C65814" w:rsidRPr="00726690">
        <w:rPr>
          <w:rFonts w:eastAsia="Times New Roman"/>
          <w:sz w:val="24"/>
          <w:szCs w:val="24"/>
          <w:lang w:val="uk-UA" w:eastAsia="ru-RU"/>
        </w:rPr>
        <w:t xml:space="preserve">специфіку політичної комунікації та її </w:t>
      </w:r>
      <w:proofErr w:type="spellStart"/>
      <w:r w:rsidR="00C65814" w:rsidRPr="00726690">
        <w:rPr>
          <w:rFonts w:eastAsia="Times New Roman"/>
          <w:sz w:val="24"/>
          <w:szCs w:val="24"/>
          <w:lang w:val="uk-UA" w:eastAsia="ru-RU"/>
        </w:rPr>
        <w:t>комунікаційно</w:t>
      </w:r>
      <w:proofErr w:type="spellEnd"/>
      <w:r w:rsidR="00C65814" w:rsidRPr="00726690">
        <w:rPr>
          <w:rFonts w:eastAsia="Times New Roman"/>
          <w:sz w:val="24"/>
          <w:szCs w:val="24"/>
          <w:lang w:val="uk-UA" w:eastAsia="ru-RU"/>
        </w:rPr>
        <w:t>-технологічні складові;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="00C65814" w:rsidRPr="00726690">
        <w:rPr>
          <w:rFonts w:eastAsia="Times New Roman"/>
          <w:sz w:val="24"/>
          <w:szCs w:val="24"/>
          <w:lang w:val="uk-UA" w:eastAsia="ru-RU"/>
        </w:rPr>
        <w:t>особливості пропаганди як соціально-психологічного феномену та комунікативну схему пропаганди;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="00C65814" w:rsidRPr="00726690">
        <w:rPr>
          <w:rFonts w:eastAsia="Times New Roman"/>
          <w:sz w:val="24"/>
          <w:szCs w:val="24"/>
          <w:lang w:val="uk-UA" w:eastAsia="ru-RU"/>
        </w:rPr>
        <w:t>сутність та особливості виборчих технологій;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="00C65814" w:rsidRPr="00726690">
        <w:rPr>
          <w:rFonts w:eastAsia="Times New Roman"/>
          <w:sz w:val="24"/>
          <w:szCs w:val="24"/>
          <w:lang w:val="uk-UA" w:eastAsia="ru-RU"/>
        </w:rPr>
        <w:t xml:space="preserve">основи </w:t>
      </w:r>
      <w:proofErr w:type="spellStart"/>
      <w:r w:rsidR="00C65814" w:rsidRPr="00726690">
        <w:rPr>
          <w:rFonts w:eastAsia="Times New Roman"/>
          <w:sz w:val="24"/>
          <w:szCs w:val="24"/>
          <w:lang w:val="uk-UA" w:eastAsia="ru-RU"/>
        </w:rPr>
        <w:t>іміджелогії</w:t>
      </w:r>
      <w:proofErr w:type="spellEnd"/>
      <w:r w:rsidR="00C65814" w:rsidRPr="00726690">
        <w:rPr>
          <w:rFonts w:eastAsia="Times New Roman"/>
          <w:sz w:val="24"/>
          <w:szCs w:val="24"/>
          <w:lang w:val="uk-UA" w:eastAsia="ru-RU"/>
        </w:rPr>
        <w:t xml:space="preserve"> та </w:t>
      </w:r>
      <w:proofErr w:type="spellStart"/>
      <w:r w:rsidR="00C65814" w:rsidRPr="00726690">
        <w:rPr>
          <w:rFonts w:eastAsia="Times New Roman"/>
          <w:sz w:val="24"/>
          <w:szCs w:val="24"/>
          <w:lang w:val="uk-UA" w:eastAsia="ru-RU"/>
        </w:rPr>
        <w:t>іміджмейкінгу</w:t>
      </w:r>
      <w:proofErr w:type="spellEnd"/>
      <w:r w:rsidR="00C65814" w:rsidRPr="00726690">
        <w:rPr>
          <w:rFonts w:eastAsia="Times New Roman"/>
          <w:sz w:val="24"/>
          <w:szCs w:val="24"/>
          <w:lang w:val="uk-UA" w:eastAsia="ru-RU"/>
        </w:rPr>
        <w:t>;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="00C65814" w:rsidRPr="00726690">
        <w:rPr>
          <w:rFonts w:eastAsia="Times New Roman"/>
          <w:sz w:val="24"/>
          <w:szCs w:val="24"/>
          <w:lang w:val="uk-UA" w:eastAsia="ru-RU"/>
        </w:rPr>
        <w:t>різновиди спін-операцій та методи маніпулятивної подачі інформації;</w:t>
      </w:r>
      <w:r>
        <w:rPr>
          <w:rFonts w:eastAsia="Times New Roman"/>
          <w:sz w:val="24"/>
          <w:szCs w:val="24"/>
          <w:lang w:val="uk-UA" w:eastAsia="ru-RU"/>
        </w:rPr>
        <w:t xml:space="preserve"> </w:t>
      </w:r>
      <w:r w:rsidR="00C65814" w:rsidRPr="00726690">
        <w:rPr>
          <w:rFonts w:eastAsia="Times New Roman"/>
          <w:sz w:val="24"/>
          <w:szCs w:val="24"/>
          <w:lang w:val="uk-UA" w:eastAsia="ru-RU"/>
        </w:rPr>
        <w:t xml:space="preserve">складові </w:t>
      </w:r>
      <w:proofErr w:type="spellStart"/>
      <w:r>
        <w:rPr>
          <w:rFonts w:eastAsia="Times New Roman"/>
          <w:sz w:val="24"/>
          <w:szCs w:val="24"/>
          <w:lang w:val="uk-UA" w:eastAsia="ru-RU"/>
        </w:rPr>
        <w:t>соіально</w:t>
      </w:r>
      <w:r w:rsidR="00C65814" w:rsidRPr="00726690">
        <w:rPr>
          <w:rFonts w:eastAsia="Times New Roman"/>
          <w:sz w:val="24"/>
          <w:szCs w:val="24"/>
          <w:lang w:val="uk-UA" w:eastAsia="ru-RU"/>
        </w:rPr>
        <w:t>комунікаційного</w:t>
      </w:r>
      <w:proofErr w:type="spellEnd"/>
      <w:r w:rsidR="00C65814" w:rsidRPr="00726690">
        <w:rPr>
          <w:rFonts w:eastAsia="Times New Roman"/>
          <w:sz w:val="24"/>
          <w:szCs w:val="24"/>
          <w:lang w:val="uk-UA" w:eastAsia="ru-RU"/>
        </w:rPr>
        <w:t xml:space="preserve"> простору.</w:t>
      </w:r>
    </w:p>
    <w:p w:rsidR="005D43AB" w:rsidRDefault="005D43AB" w:rsidP="0072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6690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уміти</w:t>
      </w:r>
      <w:r w:rsidRPr="00726690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7266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26690">
        <w:rPr>
          <w:rFonts w:ascii="Times New Roman" w:hAnsi="Times New Roman" w:cs="Times New Roman"/>
          <w:sz w:val="24"/>
          <w:szCs w:val="24"/>
          <w:lang w:val="uk-UA"/>
        </w:rPr>
        <w:t>впроваджувати базові елементи комунікаційного впливу у власній професійній практиці;</w:t>
      </w:r>
      <w:r w:rsidR="007266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6690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726690">
        <w:rPr>
          <w:rFonts w:ascii="Times New Roman" w:hAnsi="Times New Roman" w:cs="Times New Roman"/>
          <w:sz w:val="24"/>
          <w:szCs w:val="24"/>
          <w:lang w:val="uk-UA"/>
        </w:rPr>
        <w:t xml:space="preserve"> аналізувати стратегію, тактику та комунікаційний арсенал виборчої </w:t>
      </w:r>
      <w:r w:rsidRPr="00726690">
        <w:rPr>
          <w:rFonts w:ascii="Times New Roman" w:hAnsi="Times New Roman" w:cs="Times New Roman"/>
          <w:sz w:val="24"/>
          <w:szCs w:val="24"/>
          <w:lang w:val="uk-UA"/>
        </w:rPr>
        <w:lastRenderedPageBreak/>
        <w:t>кампанії;</w:t>
      </w:r>
      <w:r w:rsidR="007266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26690">
        <w:rPr>
          <w:rFonts w:ascii="Times New Roman" w:hAnsi="Times New Roman" w:cs="Times New Roman"/>
          <w:sz w:val="24"/>
          <w:szCs w:val="24"/>
          <w:lang w:val="uk-UA"/>
        </w:rPr>
        <w:t xml:space="preserve">розробляти сценарії соціальних та політичних </w:t>
      </w:r>
      <w:proofErr w:type="spellStart"/>
      <w:r w:rsidRPr="00726690">
        <w:rPr>
          <w:rFonts w:ascii="Times New Roman" w:hAnsi="Times New Roman" w:cs="Times New Roman"/>
          <w:sz w:val="24"/>
          <w:szCs w:val="24"/>
          <w:lang w:val="uk-UA"/>
        </w:rPr>
        <w:t>перформансів</w:t>
      </w:r>
      <w:proofErr w:type="spellEnd"/>
      <w:r w:rsidRPr="0072669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7266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26690">
        <w:rPr>
          <w:rFonts w:ascii="Times New Roman" w:hAnsi="Times New Roman" w:cs="Times New Roman"/>
          <w:sz w:val="24"/>
          <w:szCs w:val="24"/>
          <w:lang w:val="uk-UA"/>
        </w:rPr>
        <w:t>організовувати та планувати імідж-стратегії;</w:t>
      </w:r>
      <w:r w:rsidR="007266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726690">
        <w:rPr>
          <w:rFonts w:ascii="Times New Roman" w:hAnsi="Times New Roman" w:cs="Times New Roman"/>
          <w:sz w:val="24"/>
          <w:szCs w:val="24"/>
          <w:lang w:val="uk-UA"/>
        </w:rPr>
        <w:t>характеризувати спеціальні техніки пропаганди у певному політичном</w:t>
      </w:r>
      <w:r w:rsidR="00726690">
        <w:rPr>
          <w:rFonts w:ascii="Times New Roman" w:hAnsi="Times New Roman" w:cs="Times New Roman"/>
          <w:sz w:val="24"/>
          <w:szCs w:val="24"/>
          <w:lang w:val="uk-UA"/>
        </w:rPr>
        <w:t>у та соціокультурному контексті.</w:t>
      </w:r>
    </w:p>
    <w:p w:rsidR="00726690" w:rsidRDefault="00726690" w:rsidP="0072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690" w:rsidRDefault="00726690" w:rsidP="0072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690" w:rsidRDefault="00726690" w:rsidP="0072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6690" w:rsidRDefault="00726690" w:rsidP="0072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9"/>
        <w:gridCol w:w="5794"/>
      </w:tblGrid>
      <w:tr w:rsidR="00726690" w:rsidRPr="00F46412" w:rsidTr="00B564C1"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Заплановані робочою програмою результати навчання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та компетентності </w:t>
            </w: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Методи і контрольні заходи</w:t>
            </w:r>
          </w:p>
        </w:tc>
      </w:tr>
      <w:tr w:rsidR="00726690" w:rsidRPr="00F46412" w:rsidTr="00B564C1"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t>2</w:t>
            </w:r>
          </w:p>
        </w:tc>
      </w:tr>
      <w:tr w:rsidR="00726690" w:rsidRPr="00F46412" w:rsidTr="00B564C1">
        <w:trPr>
          <w:trHeight w:val="187"/>
        </w:trPr>
        <w:tc>
          <w:tcPr>
            <w:tcW w:w="4052" w:type="dxa"/>
          </w:tcPr>
          <w:p w:rsidR="00726690" w:rsidRDefault="00726690" w:rsidP="00B564C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Здатність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реалізувати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свої</w:t>
            </w:r>
            <w:proofErr w:type="spellEnd"/>
            <w:r>
              <w:rPr>
                <w:sz w:val="22"/>
                <w:szCs w:val="22"/>
              </w:rPr>
              <w:t xml:space="preserve"> права і </w:t>
            </w:r>
            <w:proofErr w:type="spellStart"/>
            <w:r>
              <w:rPr>
                <w:sz w:val="22"/>
                <w:szCs w:val="22"/>
              </w:rPr>
              <w:t>обов’язки</w:t>
            </w:r>
            <w:proofErr w:type="spellEnd"/>
            <w:r>
              <w:rPr>
                <w:sz w:val="22"/>
                <w:szCs w:val="22"/>
              </w:rPr>
              <w:t xml:space="preserve"> як члена </w:t>
            </w:r>
            <w:proofErr w:type="spellStart"/>
            <w:r>
              <w:rPr>
                <w:sz w:val="22"/>
                <w:szCs w:val="22"/>
              </w:rPr>
              <w:t>суспільства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усвідомлювати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цінності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громадянського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вільного</w:t>
            </w:r>
            <w:proofErr w:type="spellEnd"/>
            <w:r>
              <w:rPr>
                <w:sz w:val="22"/>
                <w:szCs w:val="22"/>
              </w:rPr>
              <w:t xml:space="preserve"> демократичного) </w:t>
            </w:r>
            <w:proofErr w:type="spellStart"/>
            <w:r>
              <w:rPr>
                <w:sz w:val="22"/>
                <w:szCs w:val="22"/>
              </w:rPr>
              <w:t>суспільства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необхідність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сталого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розвитку</w:t>
            </w:r>
            <w:proofErr w:type="spellEnd"/>
            <w:r>
              <w:rPr>
                <w:sz w:val="22"/>
                <w:szCs w:val="22"/>
              </w:rPr>
              <w:t xml:space="preserve">, верховенства права, прав і свобод </w:t>
            </w:r>
            <w:proofErr w:type="spellStart"/>
            <w:r>
              <w:rPr>
                <w:sz w:val="22"/>
                <w:szCs w:val="22"/>
              </w:rPr>
              <w:t>людини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громадянина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Україні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метод проблемного викладу, дослідницький метод, дискусії, ділова гра, круглі столи, методи моделювання проблемної ситуації. Конкретизація навчальних методів: моделювання типових ситуацій журналістської діяльності; використання кейс-методів (ситуаційні завдання); виконання групових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проєктів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; аналіз, синтез, порівняння, узагальнення явищ, фактів, закономірностей, викладених у різних джерелах інформації, з метою підготовки відповідей на поставлені напередодні запитання.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726690" w:rsidRPr="00F46412" w:rsidTr="00B564C1">
        <w:trPr>
          <w:trHeight w:val="1893"/>
        </w:trPr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Навички використання інформаційних і комунікаційних технологій.</w:t>
            </w: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опитування.</w:t>
            </w:r>
          </w:p>
        </w:tc>
      </w:tr>
      <w:tr w:rsidR="00726690" w:rsidRPr="00F46412" w:rsidTr="00B564C1">
        <w:trPr>
          <w:trHeight w:val="2011"/>
        </w:trPr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Знання та розуміння предметної області та розуміння професійної діяльності журналіста.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726690" w:rsidRPr="00F46412" w:rsidTr="00B564C1">
        <w:trPr>
          <w:trHeight w:val="1599"/>
        </w:trPr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бути критичним і самокритичним.</w:t>
            </w: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726690" w:rsidRPr="00F46412" w:rsidTr="00B564C1">
        <w:trPr>
          <w:trHeight w:val="1669"/>
        </w:trPr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до пошуку, оброблення та аналізу інформації з різних джерел.</w:t>
            </w: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дискусії, ділова гра, круглі столи, методи моделювання проблемної ситуації.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726690" w:rsidRPr="00F46412" w:rsidTr="00B564C1">
        <w:trPr>
          <w:trHeight w:val="934"/>
        </w:trPr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формувати інформаційний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контент для різних видів ЗМІ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</w:t>
            </w: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lastRenderedPageBreak/>
              <w:t xml:space="preserve">дослідницький метод, дискусії, ділова гра, круглі столи, методи моделювання проблемної ситуації.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726690" w:rsidRPr="00F46412" w:rsidTr="00B564C1">
        <w:trPr>
          <w:trHeight w:val="942"/>
        </w:trPr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lastRenderedPageBreak/>
              <w:t>Здатність організовувати й контролювати командну професійну діяльність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726690" w:rsidRPr="00F46412" w:rsidTr="00B564C1">
        <w:trPr>
          <w:trHeight w:val="965"/>
        </w:trPr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ефективно просувати створений медійний продукт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  <w:tr w:rsidR="00726690" w:rsidRPr="00F46412" w:rsidTr="00B564C1">
        <w:trPr>
          <w:trHeight w:val="1574"/>
        </w:trPr>
        <w:tc>
          <w:tcPr>
            <w:tcW w:w="4052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Здатність застосовувати знання зі сфери соціальних комунікацій у своїй професійній діяльності.</w:t>
            </w:r>
          </w:p>
        </w:tc>
        <w:tc>
          <w:tcPr>
            <w:tcW w:w="5871" w:type="dxa"/>
          </w:tcPr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Методи: </w:t>
            </w:r>
            <w:proofErr w:type="spellStart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пояснювально</w:t>
            </w:r>
            <w:proofErr w:type="spellEnd"/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-ілюстративний метод, репродуктивний метод, метод проблемного викладу, дослідницький метод, дискусії, ділова гра, круглі столи, методи моделювання проблемної ситуації. </w:t>
            </w:r>
          </w:p>
          <w:p w:rsidR="00726690" w:rsidRPr="00F46412" w:rsidRDefault="00726690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Контрольні заходи: тести, опитування</w:t>
            </w:r>
          </w:p>
        </w:tc>
      </w:tr>
    </w:tbl>
    <w:p w:rsidR="00726690" w:rsidRPr="00726690" w:rsidRDefault="00726690" w:rsidP="00726690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</w:pPr>
      <w:r w:rsidRPr="00726690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3. Програма навчальної дисципліни</w:t>
      </w:r>
    </w:p>
    <w:p w:rsidR="005D43AB" w:rsidRPr="00726690" w:rsidRDefault="00726690" w:rsidP="0072669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2669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Змістовий модуль 1. </w:t>
      </w:r>
    </w:p>
    <w:p w:rsidR="007E2A6B" w:rsidRPr="00726690" w:rsidRDefault="00ED51DE" w:rsidP="007266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proofErr w:type="spellStart"/>
      <w:r w:rsidRPr="0072669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Медіакомунікації</w:t>
      </w:r>
      <w:proofErr w:type="spellEnd"/>
      <w:r w:rsidRPr="0072669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7E2A6B" w:rsidRPr="00726690">
        <w:rPr>
          <w:rFonts w:ascii="Times New Roman" w:eastAsia="Calibri" w:hAnsi="Times New Roman" w:cs="Times New Roman"/>
          <w:i/>
          <w:sz w:val="24"/>
          <w:szCs w:val="24"/>
        </w:rPr>
        <w:t xml:space="preserve">у </w:t>
      </w:r>
      <w:proofErr w:type="spellStart"/>
      <w:r w:rsidR="007E2A6B" w:rsidRPr="00726690">
        <w:rPr>
          <w:rFonts w:ascii="Times New Roman" w:eastAsia="Calibri" w:hAnsi="Times New Roman" w:cs="Times New Roman"/>
          <w:i/>
          <w:sz w:val="24"/>
          <w:szCs w:val="24"/>
        </w:rPr>
        <w:t>системі</w:t>
      </w:r>
      <w:proofErr w:type="spellEnd"/>
      <w:r w:rsidR="007E2A6B" w:rsidRPr="007266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E2A6B" w:rsidRPr="00726690">
        <w:rPr>
          <w:rFonts w:ascii="Times New Roman" w:eastAsia="Calibri" w:hAnsi="Times New Roman" w:cs="Times New Roman"/>
          <w:i/>
          <w:sz w:val="24"/>
          <w:szCs w:val="24"/>
        </w:rPr>
        <w:t>соціальних</w:t>
      </w:r>
      <w:proofErr w:type="spellEnd"/>
      <w:r w:rsidR="007E2A6B" w:rsidRPr="007266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7E2A6B" w:rsidRPr="00726690">
        <w:rPr>
          <w:rFonts w:ascii="Times New Roman" w:eastAsia="Calibri" w:hAnsi="Times New Roman" w:cs="Times New Roman"/>
          <w:i/>
          <w:sz w:val="24"/>
          <w:szCs w:val="24"/>
        </w:rPr>
        <w:t>технологій</w:t>
      </w:r>
      <w:proofErr w:type="spellEnd"/>
      <w:r w:rsidR="007E2A6B" w:rsidRPr="0072669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2669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Соціокультурний </w:t>
      </w:r>
      <w:proofErr w:type="spellStart"/>
      <w:r w:rsidR="007E2A6B" w:rsidRPr="00726690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C76055">
        <w:rPr>
          <w:rFonts w:ascii="Times New Roman" w:eastAsia="Calibri" w:hAnsi="Times New Roman" w:cs="Times New Roman"/>
          <w:i/>
          <w:sz w:val="24"/>
          <w:szCs w:val="24"/>
        </w:rPr>
        <w:t>ростір</w:t>
      </w:r>
      <w:proofErr w:type="spellEnd"/>
      <w:r w:rsidR="00C760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76055">
        <w:rPr>
          <w:rFonts w:ascii="Times New Roman" w:eastAsia="Calibri" w:hAnsi="Times New Roman" w:cs="Times New Roman"/>
          <w:i/>
          <w:sz w:val="24"/>
          <w:szCs w:val="24"/>
        </w:rPr>
        <w:t>українського</w:t>
      </w:r>
      <w:proofErr w:type="spellEnd"/>
      <w:r w:rsidR="00C760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C76055">
        <w:rPr>
          <w:rFonts w:ascii="Times New Roman" w:eastAsia="Calibri" w:hAnsi="Times New Roman" w:cs="Times New Roman"/>
          <w:i/>
          <w:sz w:val="24"/>
          <w:szCs w:val="24"/>
        </w:rPr>
        <w:t>суспільства</w:t>
      </w:r>
      <w:proofErr w:type="spellEnd"/>
    </w:p>
    <w:p w:rsidR="00D3344E" w:rsidRDefault="00D3344E" w:rsidP="00D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«технологія» </w:t>
      </w:r>
      <w:r w:rsidR="00726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«</w:t>
      </w:r>
      <w:proofErr w:type="spellStart"/>
      <w:r w:rsidR="00726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медіакомунікація</w:t>
      </w:r>
      <w:proofErr w:type="spellEnd"/>
      <w:r w:rsidR="00726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сучасному гуманітарному знанні.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Концепти «соціальна технологія» та «соціальний інжиніринг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Сучасні концепції технології. Складові реалізації технології.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Соціальні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технології та їх класифікація.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Ознаки та критерії соціально-комунікаційних технологій.</w:t>
      </w:r>
    </w:p>
    <w:p w:rsidR="00726690" w:rsidRPr="00726690" w:rsidRDefault="00726690" w:rsidP="0072669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Змістовий модуль 2</w:t>
      </w:r>
      <w:r w:rsidRPr="0072669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</w:p>
    <w:p w:rsidR="001C49F7" w:rsidRDefault="00D3344E" w:rsidP="00726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334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Типологічна система технологій</w:t>
      </w:r>
      <w:r w:rsidR="0072669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="0072669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медіакомунікацій</w:t>
      </w:r>
      <w:proofErr w:type="spellEnd"/>
    </w:p>
    <w:p w:rsidR="00D3344E" w:rsidRDefault="00D3344E" w:rsidP="00D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«комунікативні технології», «комунікаційні 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ехнології» та їх диференціація.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підходи до класифікації соціа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льно-комунікаційних технологій.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Класифікація соціально-комунікаційних техно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логій за сферою розповсюдження.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Класифікація соціально-комунікаційних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технологій за об’єктом впливу.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Класифікація соціально-комунікаційних технологі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 за типом цільової орієнтації.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Класифікація соціально-комунікаційних технологій за функціональним показником</w:t>
      </w:r>
      <w:r w:rsidR="00726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26690" w:rsidRPr="00726690" w:rsidRDefault="00726690" w:rsidP="0072669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Змістовий модуль 3</w:t>
      </w:r>
      <w:r w:rsidRPr="0072669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</w:p>
    <w:p w:rsidR="007E2A6B" w:rsidRDefault="00D3344E" w:rsidP="00D3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Іміджмейкінг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як технологія формування іміджу </w:t>
      </w:r>
      <w:r w:rsidRPr="00D334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та професійна діяльність</w:t>
      </w:r>
    </w:p>
    <w:p w:rsidR="002F2C16" w:rsidRDefault="00D3344E" w:rsidP="0072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Іміджмейкінг</w:t>
      </w:r>
      <w:proofErr w:type="spellEnd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особлива практична галузь </w:t>
      </w:r>
      <w:proofErr w:type="spellStart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іміджології</w:t>
      </w:r>
      <w:proofErr w:type="spellEnd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Основні підходи до розуміння поняття “</w:t>
      </w:r>
      <w:proofErr w:type="spellStart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іміджмейкінг</w:t>
      </w:r>
      <w:proofErr w:type="spellEnd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”.</w:t>
      </w:r>
      <w:r w:rsid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Іміджмейкінг</w:t>
      </w:r>
      <w:proofErr w:type="spellEnd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комунікаційна технологія та система. Складові </w:t>
      </w:r>
      <w:proofErr w:type="spellStart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іміджмейкінгу</w:t>
      </w:r>
      <w:proofErr w:type="spellEnd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(концепція О. Панасюка).</w:t>
      </w:r>
      <w:r w:rsid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Специфіка професії іміджмейкера. Професійні орієнтири </w:t>
      </w:r>
      <w:proofErr w:type="spellStart"/>
      <w:r w:rsidRPr="00D334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іміджмейкера.</w:t>
      </w:r>
      <w:r w:rsid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Типологія</w:t>
      </w:r>
      <w:proofErr w:type="spellEnd"/>
      <w:r w:rsid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соціальної перцепції. </w:t>
      </w:r>
      <w:proofErr w:type="spellStart"/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Перцептивне</w:t>
      </w:r>
      <w:proofErr w:type="spellEnd"/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спілкування. Соціальні стереотипи й </w:t>
      </w:r>
      <w:proofErr w:type="spellStart"/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аттітюди</w:t>
      </w:r>
      <w:proofErr w:type="spellEnd"/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(установки) у процесі </w:t>
      </w:r>
      <w:proofErr w:type="spellStart"/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іміджування</w:t>
      </w:r>
      <w:proofErr w:type="spellEnd"/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Соціально-психологічні феномени трансляції й сприйняття іміджу: інтуїція, </w:t>
      </w:r>
      <w:proofErr w:type="spellStart"/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хіндсайт</w:t>
      </w:r>
      <w:proofErr w:type="spellEnd"/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соціальні очікування, фундаментальна помилка атрибуції, установка, переконання, оцінка.</w:t>
      </w:r>
      <w:r w:rsid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</w:t>
      </w:r>
      <w:r w:rsid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ихологія впливу та </w:t>
      </w:r>
      <w:proofErr w:type="spellStart"/>
      <w:r w:rsid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іміджування</w:t>
      </w:r>
      <w:proofErr w:type="spellEnd"/>
      <w:r w:rsid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Соціально-психологічний інструментарій </w:t>
      </w:r>
      <w:proofErr w:type="spellStart"/>
      <w:r w:rsidR="002F2C16"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іміджув</w:t>
      </w:r>
      <w:r w:rsidR="00726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ання</w:t>
      </w:r>
      <w:proofErr w:type="spellEnd"/>
      <w:r w:rsidR="007266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його вплив на аудиторію.</w:t>
      </w:r>
    </w:p>
    <w:p w:rsidR="00726690" w:rsidRPr="00726690" w:rsidRDefault="00726690" w:rsidP="0072669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Змістовий модуль 4</w:t>
      </w:r>
      <w:r w:rsidRPr="0072669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. </w:t>
      </w:r>
    </w:p>
    <w:p w:rsidR="002F2C16" w:rsidRDefault="002F2C16" w:rsidP="007266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</w:pPr>
      <w:r w:rsidRPr="002F2C16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Пропаганда та контрпропаганда як політична діяльність. Особливості пропагандистськ</w:t>
      </w:r>
      <w:r w:rsidR="00726690"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>их кампаній в епоху постмодерну</w:t>
      </w:r>
    </w:p>
    <w:p w:rsidR="00F141AB" w:rsidRDefault="002F2C16" w:rsidP="00C7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Пропаганда як соціально-психологічний та комунікаційний феномен.</w:t>
      </w:r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Стратегічна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 та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тактичні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цілі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Історія розвитку пропаганди та контрпропаганди як політичної діяльності. Особливості пропагандистських кампаній в епоху постмодерну.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Моделі пропаганди: механістична (тоталітарна), маніпулятивна (релятивістська), діалогова (демократична, </w:t>
      </w:r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конструктивна).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Класифікація різновидів пропаганди та їх аналіз.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Класичні методи пропаганди – </w:t>
      </w:r>
      <w:r w:rsidRPr="002F2C1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«азбука пропаганди»</w:t>
      </w:r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(Інститут пропаганди, США, 1939 р.): навішування ярликів (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name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calling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перенесення (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transfer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рекомендації, посилання на авторитети (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testimonial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гра у простацтво (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plain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folks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приєднання до більшості, «ефект фургона з оркестром» (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band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wagon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effect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сяючі узагальнення (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glittering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generalities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підтасування карт (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F2C16">
        <w:rPr>
          <w:rFonts w:ascii="Times New Roman" w:eastAsia="Times New Roman" w:hAnsi="Times New Roman" w:cs="Times New Roman"/>
          <w:sz w:val="24"/>
          <w:szCs w:val="24"/>
          <w:lang w:eastAsia="ru-RU"/>
        </w:rPr>
        <w:t>stacking</w:t>
      </w:r>
      <w:proofErr w:type="spellEnd"/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2F2C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Універсальні методи пропаганди: переконання (принципи повторення, несуперечності, первинності інформації), спрощення, замовчування,  вигаданий факт, пряме і непряме коментування, двостороння аргументація, напівправда, інсинуація, інформаційне дроблення й перевантаження, інформаційно-пропагандистська індукція, семантичне маніпулювання, політичний евфемізм, дифамація.</w:t>
      </w:r>
      <w:r w:rsidR="00C760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76055" w:rsidRPr="00C76055" w:rsidRDefault="00C76055" w:rsidP="00C76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/>
        </w:rPr>
      </w:pPr>
    </w:p>
    <w:p w:rsidR="00F141AB" w:rsidRDefault="00F141AB" w:rsidP="005D43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val="uk-UA"/>
        </w:rPr>
      </w:pPr>
    </w:p>
    <w:tbl>
      <w:tblPr>
        <w:tblpPr w:leftFromText="180" w:rightFromText="180" w:vertAnchor="page" w:horzAnchor="margin" w:tblpY="19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75"/>
        <w:gridCol w:w="567"/>
        <w:gridCol w:w="459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C76055" w:rsidRPr="00F46412" w:rsidTr="00B564C1">
        <w:tc>
          <w:tcPr>
            <w:tcW w:w="1418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Змістовий модуль</w:t>
            </w:r>
          </w:p>
        </w:tc>
        <w:tc>
          <w:tcPr>
            <w:tcW w:w="675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3788" w:type="dxa"/>
            <w:gridSpan w:val="6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Самостійна робота, год</w:t>
            </w:r>
          </w:p>
        </w:tc>
        <w:tc>
          <w:tcPr>
            <w:tcW w:w="2767" w:type="dxa"/>
            <w:gridSpan w:val="3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Система накопичення балів</w:t>
            </w:r>
          </w:p>
        </w:tc>
      </w:tr>
      <w:tr w:rsidR="00C76055" w:rsidRPr="00F46412" w:rsidTr="00B564C1">
        <w:tc>
          <w:tcPr>
            <w:tcW w:w="1418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675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026" w:type="dxa"/>
            <w:gridSpan w:val="2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</w:t>
            </w:r>
          </w:p>
        </w:tc>
        <w:tc>
          <w:tcPr>
            <w:tcW w:w="1344" w:type="dxa"/>
            <w:gridSpan w:val="2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Лекційні 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Семінарські/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Практичні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/Лабораторні заняття, год</w:t>
            </w:r>
          </w:p>
        </w:tc>
        <w:tc>
          <w:tcPr>
            <w:tcW w:w="1275" w:type="dxa"/>
            <w:gridSpan w:val="2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924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Теор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к-ть балів</w:t>
            </w:r>
          </w:p>
        </w:tc>
        <w:tc>
          <w:tcPr>
            <w:tcW w:w="992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Практ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зав-ня,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балів</w:t>
            </w:r>
          </w:p>
        </w:tc>
      </w:tr>
      <w:tr w:rsidR="00C76055" w:rsidRPr="00F46412" w:rsidTr="00B564C1">
        <w:tc>
          <w:tcPr>
            <w:tcW w:w="1418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675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1026" w:type="dxa"/>
            <w:gridSpan w:val="2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дф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64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7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49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о/д ф.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дист</w:t>
            </w:r>
            <w:proofErr w:type="spellEnd"/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ф.</w:t>
            </w:r>
          </w:p>
        </w:tc>
        <w:tc>
          <w:tcPr>
            <w:tcW w:w="924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C76055" w:rsidRPr="00F46412" w:rsidTr="00B564C1">
        <w:trPr>
          <w:trHeight w:val="120"/>
        </w:trPr>
        <w:tc>
          <w:tcPr>
            <w:tcW w:w="1418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675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026" w:type="dxa"/>
            <w:gridSpan w:val="2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567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777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640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778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498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777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924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992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851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</w:t>
            </w:r>
          </w:p>
        </w:tc>
      </w:tr>
      <w:tr w:rsidR="00C76055" w:rsidRPr="00F46412" w:rsidTr="00B564C1">
        <w:trPr>
          <w:trHeight w:val="100"/>
        </w:trPr>
        <w:tc>
          <w:tcPr>
            <w:tcW w:w="1418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675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о/д ф</w:t>
            </w:r>
          </w:p>
        </w:tc>
        <w:tc>
          <w:tcPr>
            <w:tcW w:w="4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дф</w:t>
            </w:r>
            <w:proofErr w:type="spellEnd"/>
          </w:p>
        </w:tc>
        <w:tc>
          <w:tcPr>
            <w:tcW w:w="567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777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640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778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498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777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24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992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851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</w:tr>
      <w:tr w:rsidR="00C76055" w:rsidRPr="00F46412" w:rsidTr="00B564C1">
        <w:trPr>
          <w:trHeight w:val="268"/>
        </w:trPr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67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4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4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92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92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</w:tr>
      <w:tr w:rsidR="00C76055" w:rsidRPr="00F46412" w:rsidTr="00B564C1"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7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4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92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92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14</w:t>
            </w:r>
          </w:p>
        </w:tc>
      </w:tr>
      <w:tr w:rsidR="00C76055" w:rsidRPr="00F46412" w:rsidTr="00B564C1"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67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64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92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92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</w:t>
            </w:r>
          </w:p>
        </w:tc>
      </w:tr>
      <w:tr w:rsidR="00C76055" w:rsidRPr="00F46412" w:rsidTr="00B564C1">
        <w:trPr>
          <w:trHeight w:val="308"/>
        </w:trPr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7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4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64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17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92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992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16</w:t>
            </w:r>
          </w:p>
        </w:tc>
      </w:tr>
      <w:tr w:rsidR="00C76055" w:rsidRPr="00F46412" w:rsidTr="00B564C1"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Усього за змістові модулі</w:t>
            </w:r>
          </w:p>
        </w:tc>
        <w:tc>
          <w:tcPr>
            <w:tcW w:w="67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4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64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7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9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68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</w:t>
            </w: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0</w:t>
            </w:r>
          </w:p>
        </w:tc>
        <w:tc>
          <w:tcPr>
            <w:tcW w:w="92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992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36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</w:tr>
      <w:tr w:rsidR="00C76055" w:rsidRPr="00F46412" w:rsidTr="00B564C1"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Підсумковий семестровий контроль: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екзамен</w:t>
            </w:r>
          </w:p>
        </w:tc>
        <w:tc>
          <w:tcPr>
            <w:tcW w:w="67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1026" w:type="dxa"/>
            <w:gridSpan w:val="2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6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64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7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49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7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92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92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40</w:t>
            </w:r>
          </w:p>
        </w:tc>
      </w:tr>
      <w:tr w:rsidR="00C76055" w:rsidRPr="00F46412" w:rsidTr="00B564C1"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Загалом</w:t>
            </w:r>
          </w:p>
        </w:tc>
        <w:tc>
          <w:tcPr>
            <w:tcW w:w="5738" w:type="dxa"/>
            <w:gridSpan w:val="9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90</w:t>
            </w:r>
          </w:p>
        </w:tc>
        <w:tc>
          <w:tcPr>
            <w:tcW w:w="2767" w:type="dxa"/>
            <w:gridSpan w:val="3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5D43AB" w:rsidRPr="005D43AB" w:rsidRDefault="005D43AB" w:rsidP="005D43AB">
      <w:pPr>
        <w:rPr>
          <w:rFonts w:ascii="Times New Roman" w:eastAsia="Calibri" w:hAnsi="Times New Roman" w:cs="Times New Roman"/>
          <w:b/>
          <w:sz w:val="24"/>
          <w:lang w:val="uk-UA"/>
        </w:rPr>
      </w:pPr>
    </w:p>
    <w:p w:rsidR="005D43AB" w:rsidRPr="006835D9" w:rsidRDefault="005D43AB" w:rsidP="00EF5C3D">
      <w:pPr>
        <w:pStyle w:val="a9"/>
        <w:numPr>
          <w:ilvl w:val="0"/>
          <w:numId w:val="5"/>
        </w:numPr>
        <w:jc w:val="center"/>
        <w:rPr>
          <w:b/>
          <w:sz w:val="24"/>
          <w:lang w:val="uk-UA"/>
        </w:rPr>
      </w:pPr>
      <w:r w:rsidRPr="006835D9">
        <w:rPr>
          <w:b/>
          <w:sz w:val="24"/>
          <w:lang w:val="uk-UA"/>
        </w:rPr>
        <w:t>Теми лекційних занять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978"/>
        <w:gridCol w:w="960"/>
        <w:gridCol w:w="851"/>
      </w:tblGrid>
      <w:tr w:rsidR="00C76055" w:rsidRPr="00F46412" w:rsidTr="00B564C1">
        <w:tc>
          <w:tcPr>
            <w:tcW w:w="1134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№ змістового 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модуля</w:t>
            </w:r>
          </w:p>
        </w:tc>
        <w:tc>
          <w:tcPr>
            <w:tcW w:w="6978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Назва теми</w:t>
            </w:r>
          </w:p>
        </w:tc>
        <w:tc>
          <w:tcPr>
            <w:tcW w:w="1811" w:type="dxa"/>
            <w:gridSpan w:val="2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Кількість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годин</w:t>
            </w:r>
          </w:p>
        </w:tc>
      </w:tr>
      <w:tr w:rsidR="00C76055" w:rsidRPr="00F46412" w:rsidTr="00B564C1">
        <w:trPr>
          <w:trHeight w:val="268"/>
        </w:trPr>
        <w:tc>
          <w:tcPr>
            <w:tcW w:w="1134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978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6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о/д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з/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дист</w:t>
            </w:r>
            <w:proofErr w:type="spellEnd"/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ф.</w:t>
            </w:r>
          </w:p>
        </w:tc>
      </w:tr>
      <w:tr w:rsidR="00C76055" w:rsidRPr="00F46412" w:rsidTr="00B564C1">
        <w:trPr>
          <w:trHeight w:val="117"/>
        </w:trPr>
        <w:tc>
          <w:tcPr>
            <w:tcW w:w="113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ind w:right="-9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1</w:t>
            </w:r>
          </w:p>
        </w:tc>
        <w:tc>
          <w:tcPr>
            <w:tcW w:w="69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2</w:t>
            </w:r>
          </w:p>
        </w:tc>
        <w:tc>
          <w:tcPr>
            <w:tcW w:w="96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3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ar-SA"/>
              </w:rPr>
              <w:t>4</w:t>
            </w:r>
          </w:p>
        </w:tc>
      </w:tr>
      <w:tr w:rsidR="00C76055" w:rsidRPr="00F46412" w:rsidTr="00B564C1">
        <w:trPr>
          <w:trHeight w:val="234"/>
        </w:trPr>
        <w:tc>
          <w:tcPr>
            <w:tcW w:w="113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69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Медіакомунікації</w:t>
            </w:r>
            <w:proofErr w:type="spellEnd"/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у системі соціальних технологій. Соціокультурний п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ростір українського суспільства</w:t>
            </w:r>
          </w:p>
        </w:tc>
        <w:tc>
          <w:tcPr>
            <w:tcW w:w="96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</w:tr>
      <w:tr w:rsidR="00C76055" w:rsidRPr="00F46412" w:rsidTr="00B564C1">
        <w:trPr>
          <w:trHeight w:val="103"/>
        </w:trPr>
        <w:tc>
          <w:tcPr>
            <w:tcW w:w="113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69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Типологічна система технологій </w:t>
            </w:r>
            <w:proofErr w:type="spellStart"/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медіакомунікацій</w:t>
            </w:r>
            <w:proofErr w:type="spellEnd"/>
          </w:p>
        </w:tc>
        <w:tc>
          <w:tcPr>
            <w:tcW w:w="96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</w:tr>
      <w:tr w:rsidR="00C76055" w:rsidRPr="00F46412" w:rsidTr="00B564C1">
        <w:trPr>
          <w:trHeight w:val="150"/>
        </w:trPr>
        <w:tc>
          <w:tcPr>
            <w:tcW w:w="113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69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Іміджмейкінг</w:t>
            </w:r>
            <w:proofErr w:type="spellEnd"/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як технологія формування іміджу та професійна діяльність</w:t>
            </w:r>
          </w:p>
        </w:tc>
        <w:tc>
          <w:tcPr>
            <w:tcW w:w="96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</w:tr>
      <w:tr w:rsidR="00C76055" w:rsidRPr="00F46412" w:rsidTr="00B564C1">
        <w:trPr>
          <w:trHeight w:val="150"/>
        </w:trPr>
        <w:tc>
          <w:tcPr>
            <w:tcW w:w="1134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697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Пропаганда та контрпропаганда як політична діяльність. Особливості пропагандистських кампаній в епоху постмодерну</w:t>
            </w:r>
          </w:p>
        </w:tc>
        <w:tc>
          <w:tcPr>
            <w:tcW w:w="96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</w:tr>
      <w:tr w:rsidR="00C76055" w:rsidRPr="00F46412" w:rsidTr="00B564C1">
        <w:tc>
          <w:tcPr>
            <w:tcW w:w="8112" w:type="dxa"/>
            <w:gridSpan w:val="2"/>
          </w:tcPr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Разом</w:t>
            </w:r>
          </w:p>
        </w:tc>
        <w:tc>
          <w:tcPr>
            <w:tcW w:w="96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22</w:t>
            </w:r>
          </w:p>
        </w:tc>
        <w:tc>
          <w:tcPr>
            <w:tcW w:w="851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lang w:val="uk-UA" w:eastAsia="ar-SA"/>
              </w:rPr>
              <w:t>10</w:t>
            </w:r>
          </w:p>
        </w:tc>
      </w:tr>
    </w:tbl>
    <w:p w:rsidR="00C76055" w:rsidRPr="00C76055" w:rsidRDefault="00C76055" w:rsidP="00C76055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</w:pPr>
      <w:r w:rsidRPr="00C76055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6.</w:t>
      </w:r>
      <w:r w:rsidRPr="00C76055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ab/>
        <w:t>Види і зміст поточних контрольних заходів</w:t>
      </w:r>
    </w:p>
    <w:tbl>
      <w:tblPr>
        <w:tblW w:w="98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835"/>
        <w:gridCol w:w="2977"/>
        <w:gridCol w:w="1418"/>
        <w:gridCol w:w="1559"/>
      </w:tblGrid>
      <w:tr w:rsidR="00C76055" w:rsidRPr="00F46412" w:rsidTr="00B564C1">
        <w:trPr>
          <w:trHeight w:val="803"/>
        </w:trPr>
        <w:tc>
          <w:tcPr>
            <w:tcW w:w="110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№ змістово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го модуля</w:t>
            </w:r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Вид поточного контрольного заходу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Зміст поточного контрольного заходу</w:t>
            </w:r>
          </w:p>
        </w:tc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Усього балів</w:t>
            </w:r>
          </w:p>
        </w:tc>
      </w:tr>
      <w:tr w:rsidR="00C76055" w:rsidRPr="00F46412" w:rsidTr="00B564C1">
        <w:trPr>
          <w:trHeight w:val="344"/>
        </w:trPr>
        <w:tc>
          <w:tcPr>
            <w:tcW w:w="110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lastRenderedPageBreak/>
              <w:t>1</w:t>
            </w:r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</w:t>
            </w:r>
          </w:p>
        </w:tc>
      </w:tr>
      <w:tr w:rsidR="00C76055" w:rsidRPr="00F46412" w:rsidTr="00B564C1">
        <w:tc>
          <w:tcPr>
            <w:tcW w:w="1100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2835" w:type="dxa"/>
          </w:tcPr>
          <w:p w:rsidR="00C76055" w:rsidRPr="00F46412" w:rsidRDefault="00C76055" w:rsidP="00C7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Теорет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ичне завдання –  ознайомитися зі специфікою соціокультурного простору та місця у ньому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ar-SA"/>
              </w:rPr>
              <w:t>медіакомунікацій</w:t>
            </w:r>
            <w:proofErr w:type="spellEnd"/>
          </w:p>
        </w:tc>
        <w:tc>
          <w:tcPr>
            <w:tcW w:w="2977" w:type="dxa"/>
          </w:tcPr>
          <w:p w:rsidR="00C76055" w:rsidRPr="00F46412" w:rsidRDefault="00C76055" w:rsidP="00C7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Питання для підготовки: </w:t>
            </w:r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Поняття «технологія» та «</w:t>
            </w:r>
            <w:proofErr w:type="spellStart"/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медіакомунікація</w:t>
            </w:r>
            <w:proofErr w:type="spellEnd"/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» у сучасному гуманітарному знанні. Концепти «соціальна технологія» та «соціальний інжиніринг». Сучасні концепції технології. Складові реалізації технології. Соціальні технології та їх класифікація. Ознаки та критерії соціально-комунікаційних технологій.</w:t>
            </w:r>
          </w:p>
        </w:tc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https://moodle.znu.edu.ua/course/view.php?id=15204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</w:t>
            </w:r>
          </w:p>
        </w:tc>
      </w:tr>
      <w:tr w:rsidR="00C76055" w:rsidRPr="00F46412" w:rsidTr="00B564C1">
        <w:trPr>
          <w:trHeight w:val="343"/>
        </w:trPr>
        <w:tc>
          <w:tcPr>
            <w:tcW w:w="1100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835" w:type="dxa"/>
          </w:tcPr>
          <w:p w:rsidR="00C76055" w:rsidRPr="00F46412" w:rsidRDefault="00C76055" w:rsidP="00313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Практичне завдання –</w:t>
            </w:r>
            <w:r w:rsidR="00313CC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ab/>
              <w:t>Оберіть для аналізу одну з соціальних інституцій українського суспільства (політичну, економічну, культурно-виховну, родинну, релігійну) та визначте, які СКТ найактивніше використовуються нею. З чим це пов’язано?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Вимоги до виконання та оформлення: 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завдання подати як презентацію</w:t>
            </w:r>
          </w:p>
        </w:tc>
        <w:tc>
          <w:tcPr>
            <w:tcW w:w="1418" w:type="dxa"/>
          </w:tcPr>
          <w:p w:rsidR="00C76055" w:rsidRPr="00F46412" w:rsidRDefault="00C76055" w:rsidP="00C7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https://moodle.znu.edu.ua/course/view.php?id=15204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8</w:t>
            </w:r>
          </w:p>
        </w:tc>
      </w:tr>
      <w:tr w:rsidR="00C76055" w:rsidRPr="00F46412" w:rsidTr="00B564C1">
        <w:trPr>
          <w:trHeight w:val="720"/>
        </w:trPr>
        <w:tc>
          <w:tcPr>
            <w:tcW w:w="110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Усього за ЗМ 1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контр.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14</w:t>
            </w:r>
          </w:p>
        </w:tc>
      </w:tr>
      <w:tr w:rsidR="00C76055" w:rsidRPr="00F46412" w:rsidTr="00B564C1">
        <w:trPr>
          <w:trHeight w:val="487"/>
        </w:trPr>
        <w:tc>
          <w:tcPr>
            <w:tcW w:w="1100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Теоретичне завдання – опитування й обговорення ключових моментів теми; тестування на платформі </w:t>
            </w:r>
            <w:r w:rsidRPr="00F46412">
              <w:rPr>
                <w:rFonts w:ascii="Times New Roman" w:eastAsia="Times New Roman" w:hAnsi="Times New Roman" w:cs="Times New Roman"/>
                <w:lang w:val="en-US" w:eastAsia="ar-SA"/>
              </w:rPr>
              <w:t>MOODLE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, проведення ділової гри</w:t>
            </w:r>
          </w:p>
        </w:tc>
        <w:tc>
          <w:tcPr>
            <w:tcW w:w="2977" w:type="dxa"/>
          </w:tcPr>
          <w:p w:rsidR="00C76055" w:rsidRPr="00F46412" w:rsidRDefault="00C76055" w:rsidP="00313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Питання для підготовки: </w:t>
            </w:r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Поняття «комунікативні технології», «комунікаційні технології» та їх диференціація. Основні підходи до класифікації соціально-комунікаційних технологій. Класифікація соціально-комунікаційних технологій за сферою розповсюдження. Класифікація соціально-комунікаційних технологій за об’єктом впливу. Класифікація соціально-комунікаційних технологій за типом цільової орієнтації. Класифікація соціально-комунікаційних технологій за функціональним показником</w:t>
            </w:r>
          </w:p>
        </w:tc>
        <w:tc>
          <w:tcPr>
            <w:tcW w:w="1418" w:type="dxa"/>
          </w:tcPr>
          <w:p w:rsidR="00C76055" w:rsidRPr="00F46412" w:rsidRDefault="00C76055" w:rsidP="00C7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https://moodle.znu.edu.ua/course/view.php?id=15204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</w:tr>
      <w:tr w:rsidR="00C76055" w:rsidRPr="00F46412" w:rsidTr="00B564C1">
        <w:trPr>
          <w:trHeight w:val="290"/>
        </w:trPr>
        <w:tc>
          <w:tcPr>
            <w:tcW w:w="1100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2835" w:type="dxa"/>
          </w:tcPr>
          <w:p w:rsidR="00C76055" w:rsidRPr="00F46412" w:rsidRDefault="00C76055" w:rsidP="00313CC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Практичне завдання –</w:t>
            </w:r>
            <w:r w:rsidRPr="00A31852">
              <w:rPr>
                <w:lang w:val="uk-UA"/>
              </w:rPr>
              <w:t xml:space="preserve"> </w:t>
            </w:r>
            <w:r w:rsidR="00313CC7" w:rsidRPr="00313CC7">
              <w:rPr>
                <w:rFonts w:ascii="Times New Roman" w:hAnsi="Times New Roman" w:cs="Times New Roman"/>
                <w:lang w:val="uk-UA"/>
              </w:rPr>
              <w:t xml:space="preserve">Здійсніть порівняльну характеристику технологій </w:t>
            </w:r>
            <w:r w:rsidR="00313CC7" w:rsidRPr="00313CC7">
              <w:rPr>
                <w:rFonts w:ascii="Times New Roman" w:hAnsi="Times New Roman" w:cs="Times New Roman"/>
                <w:lang w:val="uk-UA"/>
              </w:rPr>
              <w:lastRenderedPageBreak/>
              <w:t xml:space="preserve">політичної пропаганди, політичного </w:t>
            </w:r>
            <w:proofErr w:type="spellStart"/>
            <w:r w:rsidR="00313CC7" w:rsidRPr="00313CC7">
              <w:rPr>
                <w:rFonts w:ascii="Times New Roman" w:hAnsi="Times New Roman" w:cs="Times New Roman"/>
                <w:lang w:val="uk-UA"/>
              </w:rPr>
              <w:t>паблік</w:t>
            </w:r>
            <w:proofErr w:type="spellEnd"/>
            <w:r w:rsidR="00313CC7" w:rsidRPr="00313CC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13CC7" w:rsidRPr="00313CC7">
              <w:rPr>
                <w:rFonts w:ascii="Times New Roman" w:hAnsi="Times New Roman" w:cs="Times New Roman"/>
                <w:lang w:val="uk-UA"/>
              </w:rPr>
              <w:t>рилейшнз</w:t>
            </w:r>
            <w:proofErr w:type="spellEnd"/>
            <w:r w:rsidR="00313CC7" w:rsidRPr="00313CC7">
              <w:rPr>
                <w:rFonts w:ascii="Times New Roman" w:hAnsi="Times New Roman" w:cs="Times New Roman"/>
                <w:lang w:val="uk-UA"/>
              </w:rPr>
              <w:t xml:space="preserve"> та політичного маркетингу. Результати пошуку </w:t>
            </w:r>
            <w:proofErr w:type="spellStart"/>
            <w:r w:rsidR="00313CC7" w:rsidRPr="00313CC7">
              <w:rPr>
                <w:rFonts w:ascii="Times New Roman" w:hAnsi="Times New Roman" w:cs="Times New Roman"/>
                <w:lang w:val="uk-UA"/>
              </w:rPr>
              <w:t>візуалізуйте</w:t>
            </w:r>
            <w:proofErr w:type="spellEnd"/>
            <w:r w:rsidR="00313CC7" w:rsidRPr="00313CC7">
              <w:rPr>
                <w:rFonts w:ascii="Times New Roman" w:hAnsi="Times New Roman" w:cs="Times New Roman"/>
                <w:lang w:val="uk-UA"/>
              </w:rPr>
              <w:t xml:space="preserve"> за допомогою схем, таблиць або графіків.</w:t>
            </w:r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Вимоги до виконання та оформлення: </w:t>
            </w:r>
            <w:r w:rsidRPr="00DB0492">
              <w:rPr>
                <w:rFonts w:ascii="Times New Roman" w:eastAsia="Times New Roman" w:hAnsi="Times New Roman" w:cs="Times New Roman"/>
                <w:lang w:val="uk-UA" w:eastAsia="ar-SA"/>
              </w:rPr>
              <w:t>завдання подати як презентацію</w:t>
            </w:r>
          </w:p>
        </w:tc>
        <w:tc>
          <w:tcPr>
            <w:tcW w:w="1418" w:type="dxa"/>
          </w:tcPr>
          <w:p w:rsidR="00C76055" w:rsidRPr="00F46412" w:rsidRDefault="00C76055" w:rsidP="00C7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:</w:t>
            </w:r>
            <w:r>
              <w:t xml:space="preserve"> </w:t>
            </w:r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https://moodle.znu.edu.ua/course/view.php?id=15204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8</w:t>
            </w:r>
          </w:p>
        </w:tc>
      </w:tr>
      <w:tr w:rsidR="00C76055" w:rsidRPr="00F46412" w:rsidTr="00B564C1">
        <w:trPr>
          <w:trHeight w:val="720"/>
        </w:trPr>
        <w:tc>
          <w:tcPr>
            <w:tcW w:w="110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lastRenderedPageBreak/>
              <w:t>Усього за ЗМ 2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контр.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…</w:t>
            </w:r>
          </w:p>
        </w:tc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14</w:t>
            </w:r>
          </w:p>
        </w:tc>
      </w:tr>
      <w:tr w:rsidR="00C76055" w:rsidRPr="00F46412" w:rsidTr="00B564C1">
        <w:trPr>
          <w:trHeight w:val="127"/>
        </w:trPr>
        <w:tc>
          <w:tcPr>
            <w:tcW w:w="1100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Теоретичне завдання – опитування й обговорення ключових моментів теми; тестування на платформі MOODLE, проведення ділової гри</w:t>
            </w:r>
          </w:p>
        </w:tc>
        <w:tc>
          <w:tcPr>
            <w:tcW w:w="2977" w:type="dxa"/>
          </w:tcPr>
          <w:p w:rsidR="00C76055" w:rsidRPr="00A3185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Питання для підготовки – </w:t>
            </w:r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Зовнішність як біологічний компонент іміджу. Складові зовнішності людини. Біологічні та соціальні ознаки особистості як першоджерела формування іміджу та стилю. Мода й краса як чинники формування біологічного компоненту іміджу.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Габітарний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імідж особистості: технології створення. Основи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кольоропсихології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. Типи кольорової поведінки (концепція М.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Люшера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). Типологія кольорового іміджу людини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К.Джексон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: весна, літо, зима, осінь. Роль одягу та костюму у презентації іміджу людини. Стратегії самопрезентації в одязі.  Вибір стилю одягу. Різновиди стилів. Вибір манери вбрання за критеріями: ставлення до моди та традицій, демонстративні мотиви вибору одягу, потреби у виборі одягу, кількість одягу, параметри конституції людини.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C76055" w:rsidRPr="00F46412" w:rsidRDefault="00C76055" w:rsidP="00313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https://moodle.znu.edu.ua/course/view.php?id=15204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…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</w:tr>
      <w:tr w:rsidR="00C76055" w:rsidRPr="00F46412" w:rsidTr="00B564C1">
        <w:trPr>
          <w:trHeight w:val="140"/>
        </w:trPr>
        <w:tc>
          <w:tcPr>
            <w:tcW w:w="1100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</w:tcPr>
          <w:p w:rsidR="00C76055" w:rsidRPr="00A3185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Практичне завдання –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Підготуйте портфоліо для кожного стилю одягу – класичного, романтичного, фольклорного, спортивного.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Визначте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кольоротип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своєї зовнішності за запропонованим нижче тестом. Поміркуйте, як зміниться ваш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>кольоротип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та образ після процедури перефарбування волосся? Для наочності скористайтеся програмою комп’ютерного моделювання.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3185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Вимоги до виконання та оформлення: завдання подати як презентацію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1418" w:type="dxa"/>
          </w:tcPr>
          <w:p w:rsidR="00C76055" w:rsidRPr="00F46412" w:rsidRDefault="00C76055" w:rsidP="00313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:</w:t>
            </w:r>
            <w:r w:rsidR="00313CC7">
              <w:t xml:space="preserve"> </w:t>
            </w:r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https://moodle.znu.edu.ua/course/view.php?id=15204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10</w:t>
            </w:r>
          </w:p>
        </w:tc>
      </w:tr>
      <w:tr w:rsidR="00C76055" w:rsidRPr="00F46412" w:rsidTr="00B564C1">
        <w:trPr>
          <w:trHeight w:val="1076"/>
        </w:trPr>
        <w:tc>
          <w:tcPr>
            <w:tcW w:w="110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Усього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за ЗМ 3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контр.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заходів</w:t>
            </w:r>
            <w:proofErr w:type="spellEnd"/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16</w:t>
            </w:r>
          </w:p>
        </w:tc>
      </w:tr>
      <w:tr w:rsidR="00C76055" w:rsidRPr="00F46412" w:rsidTr="00B564C1">
        <w:trPr>
          <w:trHeight w:val="141"/>
        </w:trPr>
        <w:tc>
          <w:tcPr>
            <w:tcW w:w="1100" w:type="dxa"/>
            <w:vMerge w:val="restart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Теоретичне завдання – опитування й обговорення ключових моментів теми; тестування на платформі MOODLE, ділова гра</w:t>
            </w:r>
          </w:p>
        </w:tc>
        <w:tc>
          <w:tcPr>
            <w:tcW w:w="2977" w:type="dxa"/>
          </w:tcPr>
          <w:p w:rsidR="00C76055" w:rsidRPr="00F46412" w:rsidRDefault="00C76055" w:rsidP="00313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Питання для підготовки – </w:t>
            </w:r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Пропаганда як соціально-психологічний та комунікаційний феномен. Стратегічна мета та тактичні цілі пропаганди. Історія розвитку пропаганди та контрпропаганди як політичної діяльності. Особливості пропагандистських кампаній в епоху постмодерну. Моделі пропаганди: механістична (тоталітарна), маніпулятивна (релятивістська), діалогова (демократична, конструктивна). Класифікація різновидів пропаганди та їх аналіз.  Класичні методи пропаганди – «азбука пропаганди» (Інститут пропаганди, США, 1939 р.): навішування ярликів (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name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calling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), перенесення (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transfer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), рекомендації, посилання на авторитети (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testimonial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), гра у простацтво (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plain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folks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), приєднання до більшості, «ефект фургона з оркестром» (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band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wagon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effect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), сяючі узагальнення (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glittering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generalities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), підтасування карт (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card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 xml:space="preserve"> </w:t>
            </w:r>
            <w:proofErr w:type="spellStart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stacking</w:t>
            </w:r>
            <w:proofErr w:type="spellEnd"/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). Універсальні методи пропаганди: переконання (принципи повторення, несуперечності, первинності інформації), спрощення, замовчування,  вигаданий факт, пряме і непряме коментування, двостороння аргументація, напівправда, інсинуація, інформаційне дроблення й перевантаження, інформаційно-</w:t>
            </w:r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пропагандистська індукція, семантичне маніпулювання, політичний евфемізм, дифамація.</w:t>
            </w:r>
          </w:p>
        </w:tc>
        <w:tc>
          <w:tcPr>
            <w:tcW w:w="1418" w:type="dxa"/>
          </w:tcPr>
          <w:p w:rsidR="00C76055" w:rsidRPr="00F46412" w:rsidRDefault="00C76055" w:rsidP="00C7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https://moodle.znu.edu.ua/course/view.php?id=15204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</w:tr>
      <w:tr w:rsidR="00C76055" w:rsidRPr="00F46412" w:rsidTr="00B564C1">
        <w:trPr>
          <w:trHeight w:val="103"/>
        </w:trPr>
        <w:tc>
          <w:tcPr>
            <w:tcW w:w="1100" w:type="dxa"/>
            <w:vMerge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</w:tcPr>
          <w:p w:rsidR="00C76055" w:rsidRPr="00F46412" w:rsidRDefault="00C76055" w:rsidP="00313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Практичне завдання – </w:t>
            </w:r>
            <w:r w:rsidR="00313CC7" w:rsidRPr="00313CC7">
              <w:rPr>
                <w:rFonts w:ascii="Times New Roman" w:eastAsia="Times New Roman" w:hAnsi="Times New Roman" w:cs="Times New Roman"/>
                <w:lang w:val="uk-UA" w:eastAsia="ar-SA"/>
              </w:rPr>
              <w:t>Складіть портфоліо (ілюстративну базу) найосновніших методів пропаганди (10 прикладів)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Вимоги до виконання та оформлення:</w:t>
            </w:r>
            <w:r>
              <w:rPr>
                <w:rFonts w:ascii="Times New Roman" w:eastAsia="Times New Roman" w:hAnsi="Times New Roman" w:cs="Times New Roman"/>
                <w:lang w:val="uk-UA" w:eastAsia="ar-SA"/>
              </w:rPr>
              <w:t xml:space="preserve"> матеріал подати як презентацію</w:t>
            </w: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.</w:t>
            </w:r>
          </w:p>
        </w:tc>
        <w:tc>
          <w:tcPr>
            <w:tcW w:w="1418" w:type="dxa"/>
          </w:tcPr>
          <w:p w:rsidR="00C76055" w:rsidRPr="00F46412" w:rsidRDefault="00C76055" w:rsidP="00C760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 xml:space="preserve">: </w:t>
            </w:r>
            <w:r w:rsidRPr="00C76055">
              <w:rPr>
                <w:rFonts w:ascii="Times New Roman" w:eastAsia="Times New Roman" w:hAnsi="Times New Roman" w:cs="Times New Roman"/>
                <w:lang w:val="uk-UA" w:eastAsia="ar-SA"/>
              </w:rPr>
              <w:t>https://moodle.znu.edu.ua/course/view.php?id=15204</w:t>
            </w: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10</w:t>
            </w:r>
          </w:p>
        </w:tc>
      </w:tr>
      <w:tr w:rsidR="00C76055" w:rsidRPr="00F46412" w:rsidTr="00B564C1">
        <w:trPr>
          <w:trHeight w:val="122"/>
        </w:trPr>
        <w:tc>
          <w:tcPr>
            <w:tcW w:w="110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Усього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за ЗМ 4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контр.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заходів</w:t>
            </w:r>
            <w:proofErr w:type="spellEnd"/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lang w:val="uk-UA" w:eastAsia="ar-SA"/>
              </w:rPr>
              <w:t>16</w:t>
            </w:r>
          </w:p>
        </w:tc>
      </w:tr>
      <w:tr w:rsidR="00C76055" w:rsidRPr="00F46412" w:rsidTr="00B564C1">
        <w:tc>
          <w:tcPr>
            <w:tcW w:w="1100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Усього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за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змістові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b/>
                <w:lang w:eastAsia="ar-SA"/>
              </w:rPr>
              <w:t>модулі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контр.</w:t>
            </w:r>
          </w:p>
          <w:p w:rsidR="00C76055" w:rsidRPr="00F46412" w:rsidRDefault="00C76055" w:rsidP="00B56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заходів</w:t>
            </w:r>
          </w:p>
        </w:tc>
        <w:tc>
          <w:tcPr>
            <w:tcW w:w="2835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2977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C76055" w:rsidRPr="00F46412" w:rsidRDefault="00C76055" w:rsidP="00B56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60</w:t>
            </w:r>
          </w:p>
        </w:tc>
      </w:tr>
    </w:tbl>
    <w:p w:rsidR="00313CC7" w:rsidRPr="00313CC7" w:rsidRDefault="00313CC7" w:rsidP="00313CC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</w:pPr>
      <w:r w:rsidRPr="00313CC7">
        <w:rPr>
          <w:rFonts w:ascii="Times New Roman" w:eastAsia="Calibri" w:hAnsi="Times New Roman" w:cs="Times New Roman"/>
          <w:b/>
          <w:bCs/>
          <w:sz w:val="24"/>
          <w:szCs w:val="24"/>
          <w:lang w:val="uk-UA" w:eastAsia="ar-SA"/>
        </w:rPr>
        <w:t>8. Підсумковий семестровий контроль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670"/>
        <w:gridCol w:w="1842"/>
        <w:gridCol w:w="851"/>
      </w:tblGrid>
      <w:tr w:rsidR="00313CC7" w:rsidRPr="00F46412" w:rsidTr="00B564C1">
        <w:trPr>
          <w:trHeight w:val="318"/>
        </w:trPr>
        <w:tc>
          <w:tcPr>
            <w:tcW w:w="851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 xml:space="preserve">Форма </w:t>
            </w:r>
          </w:p>
        </w:tc>
        <w:tc>
          <w:tcPr>
            <w:tcW w:w="2127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Види підсумкових контрольних заходів</w:t>
            </w:r>
          </w:p>
        </w:tc>
        <w:tc>
          <w:tcPr>
            <w:tcW w:w="5670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Зміст підсумкового контрольного заходу</w:t>
            </w:r>
          </w:p>
        </w:tc>
        <w:tc>
          <w:tcPr>
            <w:tcW w:w="1842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Критерії оцінювання</w:t>
            </w:r>
          </w:p>
        </w:tc>
        <w:tc>
          <w:tcPr>
            <w:tcW w:w="851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Усього балів</w:t>
            </w:r>
          </w:p>
        </w:tc>
      </w:tr>
      <w:tr w:rsidR="00313CC7" w:rsidRPr="00F46412" w:rsidTr="00B564C1">
        <w:trPr>
          <w:trHeight w:val="190"/>
        </w:trPr>
        <w:tc>
          <w:tcPr>
            <w:tcW w:w="851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2127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5670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842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851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5</w:t>
            </w:r>
          </w:p>
        </w:tc>
      </w:tr>
      <w:tr w:rsidR="00313CC7" w:rsidRPr="00F46412" w:rsidTr="00B564C1">
        <w:tc>
          <w:tcPr>
            <w:tcW w:w="851" w:type="dxa"/>
            <w:vMerge w:val="restart"/>
            <w:textDirection w:val="btLr"/>
          </w:tcPr>
          <w:p w:rsidR="00313CC7" w:rsidRPr="00F46412" w:rsidRDefault="00313CC7" w:rsidP="00B564C1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  <w:p w:rsidR="00313CC7" w:rsidRPr="00F46412" w:rsidRDefault="00313CC7" w:rsidP="00B564C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b/>
                <w:lang w:val="uk-UA" w:eastAsia="ar-SA"/>
              </w:rPr>
              <w:t xml:space="preserve">Залік </w:t>
            </w:r>
          </w:p>
        </w:tc>
        <w:tc>
          <w:tcPr>
            <w:tcW w:w="2127" w:type="dxa"/>
            <w:tcBorders>
              <w:bottom w:val="nil"/>
            </w:tcBorders>
          </w:tcPr>
          <w:p w:rsidR="00313CC7" w:rsidRPr="00F46412" w:rsidRDefault="00313CC7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Теоретичне завдання: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продемонструвати базові знання у галузі </w:t>
            </w:r>
            <w:proofErr w:type="spellStart"/>
            <w:r w:rsidR="00556889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медіакомунікацій</w:t>
            </w:r>
            <w:proofErr w:type="spellEnd"/>
          </w:p>
        </w:tc>
        <w:tc>
          <w:tcPr>
            <w:tcW w:w="5670" w:type="dxa"/>
            <w:tcBorders>
              <w:bottom w:val="nil"/>
            </w:tcBorders>
          </w:tcPr>
          <w:p w:rsidR="00313CC7" w:rsidRPr="00F46412" w:rsidRDefault="00313CC7" w:rsidP="00B564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lang w:val="uk-UA" w:eastAsia="ar-SA"/>
              </w:rPr>
              <w:t>Питання для підготовки:</w:t>
            </w:r>
          </w:p>
          <w:p w:rsidR="00556889" w:rsidRP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556889">
              <w:rPr>
                <w:sz w:val="22"/>
                <w:lang w:val="uk-UA" w:eastAsia="ar-SA"/>
              </w:rPr>
              <w:t>Медіакомунікації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у системі соціальних технологій. Соціокультурний простір українського суспільства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>Поняття «технологія» та «</w:t>
            </w:r>
            <w:proofErr w:type="spellStart"/>
            <w:r w:rsidRPr="00556889">
              <w:rPr>
                <w:sz w:val="22"/>
                <w:lang w:val="uk-UA" w:eastAsia="ar-SA"/>
              </w:rPr>
              <w:t>медіакомунікація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» у сучасному гуманітарному знанні. </w:t>
            </w:r>
          </w:p>
          <w:p w:rsidR="00556889" w:rsidRP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>Сучасні концепції технології. Складові реалізації технології. Соціальні технології та їх класифікація. Ознаки та критерії соціально-комунікаційних технологій.</w:t>
            </w:r>
          </w:p>
          <w:p w:rsidR="00556889" w:rsidRP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 xml:space="preserve">Типологічна система технологій </w:t>
            </w:r>
            <w:proofErr w:type="spellStart"/>
            <w:r w:rsidRPr="00556889">
              <w:rPr>
                <w:sz w:val="22"/>
                <w:lang w:val="uk-UA" w:eastAsia="ar-SA"/>
              </w:rPr>
              <w:t>медіакомунікацій</w:t>
            </w:r>
            <w:proofErr w:type="spellEnd"/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>Поняття «комунікативні технології», «комунікаційні т</w:t>
            </w:r>
            <w:r>
              <w:rPr>
                <w:sz w:val="22"/>
                <w:lang w:val="uk-UA" w:eastAsia="ar-SA"/>
              </w:rPr>
              <w:t>ехнології» та їх диференціація.</w:t>
            </w:r>
          </w:p>
          <w:p w:rsidR="00556889" w:rsidRP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 xml:space="preserve">Основні підходи до класифікації соціально-комунікаційних технологій. </w:t>
            </w:r>
          </w:p>
          <w:p w:rsidR="00556889" w:rsidRP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556889">
              <w:rPr>
                <w:sz w:val="22"/>
                <w:lang w:val="uk-UA" w:eastAsia="ar-SA"/>
              </w:rPr>
              <w:t>Іміджмейкінг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як технологія формування іміджу та професійна діяльність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556889">
              <w:rPr>
                <w:sz w:val="22"/>
                <w:lang w:val="uk-UA" w:eastAsia="ar-SA"/>
              </w:rPr>
              <w:t>Іміджмейкінг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як особлива практична галузь </w:t>
            </w:r>
            <w:proofErr w:type="spellStart"/>
            <w:r w:rsidRPr="00556889">
              <w:rPr>
                <w:sz w:val="22"/>
                <w:lang w:val="uk-UA" w:eastAsia="ar-SA"/>
              </w:rPr>
              <w:t>іміджології</w:t>
            </w:r>
            <w:proofErr w:type="spellEnd"/>
            <w:r w:rsidRPr="00556889">
              <w:rPr>
                <w:sz w:val="22"/>
                <w:lang w:val="uk-UA" w:eastAsia="ar-SA"/>
              </w:rPr>
              <w:t>. Основні підходи до розуміння поняття “</w:t>
            </w:r>
            <w:proofErr w:type="spellStart"/>
            <w:r w:rsidRPr="00556889">
              <w:rPr>
                <w:sz w:val="22"/>
                <w:lang w:val="uk-UA" w:eastAsia="ar-SA"/>
              </w:rPr>
              <w:t>іміджмейкінг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”. 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556889">
              <w:rPr>
                <w:sz w:val="22"/>
                <w:lang w:val="uk-UA" w:eastAsia="ar-SA"/>
              </w:rPr>
              <w:t>Іміджмейкінг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як комунікаційна технологія та система. Складові </w:t>
            </w:r>
            <w:proofErr w:type="spellStart"/>
            <w:r w:rsidRPr="00556889">
              <w:rPr>
                <w:sz w:val="22"/>
                <w:lang w:val="uk-UA" w:eastAsia="ar-SA"/>
              </w:rPr>
              <w:t>іміджмейкінгу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(концепція О. Панасюка). 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>Специфіка професії іміджмейкера. Професійні орієнтири іміджмейкера.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 xml:space="preserve">Типологія соціальної перцепції. 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proofErr w:type="spellStart"/>
            <w:r w:rsidRPr="00556889">
              <w:rPr>
                <w:sz w:val="22"/>
                <w:lang w:val="uk-UA" w:eastAsia="ar-SA"/>
              </w:rPr>
              <w:t>Перцептивне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спілкування. Соціальні стереотипи й </w:t>
            </w:r>
            <w:proofErr w:type="spellStart"/>
            <w:r w:rsidRPr="00556889">
              <w:rPr>
                <w:sz w:val="22"/>
                <w:lang w:val="uk-UA" w:eastAsia="ar-SA"/>
              </w:rPr>
              <w:t>аттітюди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(установки) у процесі </w:t>
            </w:r>
            <w:proofErr w:type="spellStart"/>
            <w:r w:rsidRPr="00556889">
              <w:rPr>
                <w:sz w:val="22"/>
                <w:lang w:val="uk-UA" w:eastAsia="ar-SA"/>
              </w:rPr>
              <w:t>іміджування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. </w:t>
            </w:r>
            <w:r w:rsidRPr="00556889">
              <w:rPr>
                <w:sz w:val="22"/>
                <w:lang w:val="uk-UA" w:eastAsia="ar-SA"/>
              </w:rPr>
              <w:lastRenderedPageBreak/>
              <w:t xml:space="preserve">Соціально-психологічні феномени трансляції й сприйняття іміджу: інтуїція, </w:t>
            </w:r>
            <w:proofErr w:type="spellStart"/>
            <w:r w:rsidRPr="00556889">
              <w:rPr>
                <w:sz w:val="22"/>
                <w:lang w:val="uk-UA" w:eastAsia="ar-SA"/>
              </w:rPr>
              <w:t>хіндсайт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, соціальні очікування, фундаментальна помилка атрибуції, установка, переконання, оцінка. </w:t>
            </w:r>
          </w:p>
          <w:p w:rsidR="00556889" w:rsidRP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 xml:space="preserve">Психологія впливу та </w:t>
            </w:r>
            <w:proofErr w:type="spellStart"/>
            <w:r w:rsidRPr="00556889">
              <w:rPr>
                <w:sz w:val="22"/>
                <w:lang w:val="uk-UA" w:eastAsia="ar-SA"/>
              </w:rPr>
              <w:t>іміджування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. Соціально-психологічний інструментарій </w:t>
            </w:r>
            <w:proofErr w:type="spellStart"/>
            <w:r w:rsidRPr="00556889">
              <w:rPr>
                <w:sz w:val="22"/>
                <w:lang w:val="uk-UA" w:eastAsia="ar-SA"/>
              </w:rPr>
              <w:t>іміджування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та його вплив на аудиторію.</w:t>
            </w:r>
          </w:p>
          <w:p w:rsidR="00556889" w:rsidRP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>Пропаганда та контрпропаганда як політична діяльність. Особливості пропагандистських кампаній в епоху постмодерну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 xml:space="preserve">Пропаганда як соціально-психологічний та комунікаційний феномен. 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 xml:space="preserve">Стратегічна мета та тактичні цілі пропаганди. Історія розвитку пропаганди та контрпропаганди як політичної діяльності. 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 xml:space="preserve">Особливості пропагандистських кампаній в епоху постмодерну. 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 xml:space="preserve">Моделі пропаганди: механістична (тоталітарна), маніпулятивна (релятивістська), діалогова (демократична, конструктивна). 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>Класифікація різновидів п</w:t>
            </w:r>
            <w:r>
              <w:rPr>
                <w:sz w:val="22"/>
                <w:lang w:val="uk-UA" w:eastAsia="ar-SA"/>
              </w:rPr>
              <w:t>ропаганди та їх аналіз.</w:t>
            </w:r>
          </w:p>
          <w:p w:rsidR="00556889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>Класичні методи пропаганди – «азбука пропаганди» (Інститут пропаганди, США, 1939 р.): навішування ярликів (</w:t>
            </w:r>
            <w:proofErr w:type="spellStart"/>
            <w:r w:rsidRPr="00556889">
              <w:rPr>
                <w:sz w:val="22"/>
                <w:lang w:val="uk-UA" w:eastAsia="ar-SA"/>
              </w:rPr>
              <w:t>name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</w:t>
            </w:r>
            <w:proofErr w:type="spellStart"/>
            <w:r w:rsidRPr="00556889">
              <w:rPr>
                <w:sz w:val="22"/>
                <w:lang w:val="uk-UA" w:eastAsia="ar-SA"/>
              </w:rPr>
              <w:t>calling</w:t>
            </w:r>
            <w:proofErr w:type="spellEnd"/>
            <w:r w:rsidRPr="00556889">
              <w:rPr>
                <w:sz w:val="22"/>
                <w:lang w:val="uk-UA" w:eastAsia="ar-SA"/>
              </w:rPr>
              <w:t>), перенесення (</w:t>
            </w:r>
            <w:proofErr w:type="spellStart"/>
            <w:r w:rsidRPr="00556889">
              <w:rPr>
                <w:sz w:val="22"/>
                <w:lang w:val="uk-UA" w:eastAsia="ar-SA"/>
              </w:rPr>
              <w:t>transfer</w:t>
            </w:r>
            <w:proofErr w:type="spellEnd"/>
            <w:r w:rsidRPr="00556889">
              <w:rPr>
                <w:sz w:val="22"/>
                <w:lang w:val="uk-UA" w:eastAsia="ar-SA"/>
              </w:rPr>
              <w:t>), рекомендації, посилання на авторитети (</w:t>
            </w:r>
            <w:proofErr w:type="spellStart"/>
            <w:r w:rsidRPr="00556889">
              <w:rPr>
                <w:sz w:val="22"/>
                <w:lang w:val="uk-UA" w:eastAsia="ar-SA"/>
              </w:rPr>
              <w:t>testimonial</w:t>
            </w:r>
            <w:proofErr w:type="spellEnd"/>
            <w:r w:rsidRPr="00556889">
              <w:rPr>
                <w:sz w:val="22"/>
                <w:lang w:val="uk-UA" w:eastAsia="ar-SA"/>
              </w:rPr>
              <w:t>), гра у простацтво (</w:t>
            </w:r>
            <w:proofErr w:type="spellStart"/>
            <w:r w:rsidRPr="00556889">
              <w:rPr>
                <w:sz w:val="22"/>
                <w:lang w:val="uk-UA" w:eastAsia="ar-SA"/>
              </w:rPr>
              <w:t>plain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</w:t>
            </w:r>
            <w:proofErr w:type="spellStart"/>
            <w:r w:rsidRPr="00556889">
              <w:rPr>
                <w:sz w:val="22"/>
                <w:lang w:val="uk-UA" w:eastAsia="ar-SA"/>
              </w:rPr>
              <w:t>folks</w:t>
            </w:r>
            <w:proofErr w:type="spellEnd"/>
            <w:r w:rsidRPr="00556889">
              <w:rPr>
                <w:sz w:val="22"/>
                <w:lang w:val="uk-UA" w:eastAsia="ar-SA"/>
              </w:rPr>
              <w:t>), приєднання до більшості, «ефект фургона з оркестром» (</w:t>
            </w:r>
            <w:proofErr w:type="spellStart"/>
            <w:r w:rsidRPr="00556889">
              <w:rPr>
                <w:sz w:val="22"/>
                <w:lang w:val="uk-UA" w:eastAsia="ar-SA"/>
              </w:rPr>
              <w:t>band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</w:t>
            </w:r>
            <w:proofErr w:type="spellStart"/>
            <w:r w:rsidRPr="00556889">
              <w:rPr>
                <w:sz w:val="22"/>
                <w:lang w:val="uk-UA" w:eastAsia="ar-SA"/>
              </w:rPr>
              <w:t>wagon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</w:t>
            </w:r>
            <w:proofErr w:type="spellStart"/>
            <w:r w:rsidRPr="00556889">
              <w:rPr>
                <w:sz w:val="22"/>
                <w:lang w:val="uk-UA" w:eastAsia="ar-SA"/>
              </w:rPr>
              <w:t>effect</w:t>
            </w:r>
            <w:proofErr w:type="spellEnd"/>
            <w:r w:rsidRPr="00556889">
              <w:rPr>
                <w:sz w:val="22"/>
                <w:lang w:val="uk-UA" w:eastAsia="ar-SA"/>
              </w:rPr>
              <w:t>), сяючі узагальнення (</w:t>
            </w:r>
            <w:proofErr w:type="spellStart"/>
            <w:r w:rsidRPr="00556889">
              <w:rPr>
                <w:sz w:val="22"/>
                <w:lang w:val="uk-UA" w:eastAsia="ar-SA"/>
              </w:rPr>
              <w:t>glittering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</w:t>
            </w:r>
            <w:proofErr w:type="spellStart"/>
            <w:r w:rsidRPr="00556889">
              <w:rPr>
                <w:sz w:val="22"/>
                <w:lang w:val="uk-UA" w:eastAsia="ar-SA"/>
              </w:rPr>
              <w:t>generalities</w:t>
            </w:r>
            <w:proofErr w:type="spellEnd"/>
            <w:r w:rsidRPr="00556889">
              <w:rPr>
                <w:sz w:val="22"/>
                <w:lang w:val="uk-UA" w:eastAsia="ar-SA"/>
              </w:rPr>
              <w:t>), підтасування карт (</w:t>
            </w:r>
            <w:proofErr w:type="spellStart"/>
            <w:r w:rsidRPr="00556889">
              <w:rPr>
                <w:sz w:val="22"/>
                <w:lang w:val="uk-UA" w:eastAsia="ar-SA"/>
              </w:rPr>
              <w:t>card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 </w:t>
            </w:r>
            <w:proofErr w:type="spellStart"/>
            <w:r w:rsidRPr="00556889">
              <w:rPr>
                <w:sz w:val="22"/>
                <w:lang w:val="uk-UA" w:eastAsia="ar-SA"/>
              </w:rPr>
              <w:t>stacking</w:t>
            </w:r>
            <w:proofErr w:type="spellEnd"/>
            <w:r w:rsidRPr="00556889">
              <w:rPr>
                <w:sz w:val="22"/>
                <w:lang w:val="uk-UA" w:eastAsia="ar-SA"/>
              </w:rPr>
              <w:t xml:space="preserve">). </w:t>
            </w:r>
          </w:p>
          <w:p w:rsidR="00313CC7" w:rsidRPr="00DE33BC" w:rsidRDefault="00556889" w:rsidP="00556889">
            <w:pPr>
              <w:pStyle w:val="a9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sz w:val="22"/>
                <w:lang w:val="uk-UA" w:eastAsia="ar-SA"/>
              </w:rPr>
            </w:pPr>
            <w:r w:rsidRPr="00556889">
              <w:rPr>
                <w:sz w:val="22"/>
                <w:lang w:val="uk-UA" w:eastAsia="ar-SA"/>
              </w:rPr>
              <w:t>Універсальні методи пропаганди: переконання (принципи повторення, несуперечності, первинності інформації), спрощення, замовчування,  вигаданий факт, пряме і непряме коментування, двостороння аргументація, напівправда, інсинуація, інформаційне дроблення й перевантаження, інформаційно-пропагандистська індукція, семантичне маніпулювання, політичний евфемізм, дифамація.</w:t>
            </w:r>
          </w:p>
        </w:tc>
        <w:tc>
          <w:tcPr>
            <w:tcW w:w="1842" w:type="dxa"/>
            <w:tcBorders>
              <w:bottom w:val="nil"/>
            </w:tcBorders>
          </w:tcPr>
          <w:p w:rsidR="00313CC7" w:rsidRPr="00F46412" w:rsidRDefault="00313CC7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lastRenderedPageBreak/>
              <w:t>Під час заліку</w:t>
            </w: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 викладачка буде дотримуватися таких критеріїв оцінювання усної відповіді: демонстрування студентом знання теоретичних основ масових комунікацій; знань цілісність, систематичність, логічна послідовність викладу матеріалу; </w:t>
            </w:r>
          </w:p>
          <w:p w:rsidR="00313CC7" w:rsidRPr="00F46412" w:rsidRDefault="00313CC7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повнота розкриття питання; уміння формулювати власне ставлення до проблеми, робити аргументовані висновки; опрацювання сучасних наукових інформаційних джерел.</w:t>
            </w:r>
          </w:p>
          <w:p w:rsidR="00313CC7" w:rsidRPr="00F46412" w:rsidRDefault="00313CC7" w:rsidP="00B564C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 xml:space="preserve">Критерії оцінювання розміщено на платформі </w:t>
            </w:r>
            <w:proofErr w:type="spellStart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Moodlе</w:t>
            </w:r>
            <w:proofErr w:type="spellEnd"/>
            <w:r w:rsidRPr="00F4641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: </w:t>
            </w:r>
            <w:r w:rsidRPr="00DE33B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https://moodle.znu.edu.ua/course/view.php?id=1678</w:t>
            </w:r>
          </w:p>
        </w:tc>
        <w:tc>
          <w:tcPr>
            <w:tcW w:w="851" w:type="dxa"/>
            <w:tcBorders>
              <w:bottom w:val="nil"/>
            </w:tcBorders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20</w:t>
            </w:r>
          </w:p>
        </w:tc>
      </w:tr>
      <w:tr w:rsidR="00313CC7" w:rsidRPr="00F46412" w:rsidTr="00B564C1">
        <w:trPr>
          <w:trHeight w:val="55"/>
        </w:trPr>
        <w:tc>
          <w:tcPr>
            <w:tcW w:w="851" w:type="dxa"/>
            <w:vMerge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13CC7" w:rsidRPr="00F46412" w:rsidRDefault="00313CC7" w:rsidP="00B564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13CC7" w:rsidRPr="00F46412" w:rsidTr="00B564C1">
        <w:trPr>
          <w:trHeight w:val="688"/>
        </w:trPr>
        <w:tc>
          <w:tcPr>
            <w:tcW w:w="851" w:type="dxa"/>
            <w:vMerge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13CC7" w:rsidRPr="00F46412" w:rsidRDefault="00313CC7" w:rsidP="0055688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Практичне завдання: </w:t>
            </w:r>
            <w:r w:rsidR="00556889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 xml:space="preserve">Розробити </w:t>
            </w:r>
            <w:r w:rsidR="00556889" w:rsidRPr="00556889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t>презентацію у Microsoft PowerPoint на одну із запропонованих тем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Політична пропаганда як засіб утвердження та функціонування тоталітарного режиму. 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Особливості впливів політичної пропаганди у демократичних режимах.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Мистецькі форми пропагандистського впливу: архітектура і образотворче мистецтво у пропаганді.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Монументальна, плакатна, театральна та музична пропаганда.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Популяризація та поширення ідей у суспільній свідомості через масову культуру. 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 Пропагандистські засоби впровадження та передачі образів, ідей або інформації (образ жінки у різні соціокультурні епохи).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 Канали пропаганди під час первинної та вторинної соціалізації особистості. 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Особливості формування політичних переконань у дітей. 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Пропаганда в казках та дитячій мультиплікації. 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lastRenderedPageBreak/>
              <w:t>Історія радянської пропаганди у мультиплікації.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Американська пропаганда в мультиплікації. 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proofErr w:type="spellStart"/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Аніме</w:t>
            </w:r>
            <w:proofErr w:type="spellEnd"/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 як форма японської пропаганди. 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Роль комп’ютерної гри у формуванні особистості.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Пропаганда у комп’ютерних іграх.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proofErr w:type="spellStart"/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Компютерні</w:t>
            </w:r>
            <w:proofErr w:type="spellEnd"/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 ігри як засіб впровадження політичних стереотипів.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Роль дитячого кіно в політичному вихованні. 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Радянські букварі як засіб впровадження радянської ідеології.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Форми набуття політичної ідентичності у підлітковому віці.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Телевізійні серіали як форми пропаганди та стерео типізації мислення.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Віртуальні спільноти та їх вплив на норми і цінності сучасної молоді.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Політизація міжнародних спортивних подій. 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Пропаганда спорту та здорового засобу життя.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Освіта як складова державної політики та ідеології.</w:t>
            </w:r>
          </w:p>
          <w:p w:rsidR="00556889" w:rsidRPr="00556889" w:rsidRDefault="00556889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Іграшки як форми </w:t>
            </w:r>
            <w:proofErr w:type="spellStart"/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>стереотипізації</w:t>
            </w:r>
            <w:proofErr w:type="spellEnd"/>
            <w:r w:rsidRPr="00556889">
              <w:rPr>
                <w:rFonts w:ascii="Times New Roman" w:eastAsia="Calibri" w:hAnsi="Times New Roman" w:cs="Times New Roman"/>
                <w:lang w:val="uk-UA" w:eastAsia="ar-SA"/>
              </w:rPr>
              <w:t xml:space="preserve"> суспільного буття особистості.</w:t>
            </w:r>
          </w:p>
          <w:p w:rsidR="00313CC7" w:rsidRPr="00556889" w:rsidRDefault="00313CC7" w:rsidP="005568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6" w:hanging="284"/>
              <w:contextualSpacing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3CC7" w:rsidRPr="00F46412" w:rsidRDefault="00313CC7" w:rsidP="00B564C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color w:val="000000"/>
                <w:sz w:val="20"/>
                <w:szCs w:val="20"/>
                <w:lang w:val="uk-UA"/>
              </w:rPr>
            </w:pPr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lastRenderedPageBreak/>
              <w:t>Максимальна кількість балів</w:t>
            </w:r>
            <w:r w:rsidRPr="00F46412">
              <w:rPr>
                <w:rFonts w:ascii="Times New Roman" w:eastAsia="MS Mincho" w:hAnsi="Times New Roman" w:cs="Times New Roman"/>
                <w:b/>
                <w:sz w:val="20"/>
                <w:szCs w:val="20"/>
                <w:lang w:val="uk-UA"/>
              </w:rPr>
              <w:t xml:space="preserve"> – </w:t>
            </w:r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 xml:space="preserve">20 здобувається студентами за умови дотримання алгоритму </w:t>
            </w:r>
            <w:proofErr w:type="spellStart"/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іміджмейкінгу</w:t>
            </w:r>
            <w:proofErr w:type="spellEnd"/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 xml:space="preserve"> політичного діяча та дотримання мовностилістичних норм української мови. Зниження загального балу відбувається за наявності концептуальних помилок задуму </w:t>
            </w:r>
            <w:proofErr w:type="spellStart"/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>проєкту</w:t>
            </w:r>
            <w:proofErr w:type="spellEnd"/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t xml:space="preserve">, непрофесійного володіння </w:t>
            </w:r>
            <w:r w:rsidRPr="00F46412">
              <w:rPr>
                <w:rFonts w:ascii="Times New Roman" w:eastAsia="MS Mincho" w:hAnsi="Times New Roman" w:cs="Times New Roman"/>
                <w:sz w:val="20"/>
                <w:szCs w:val="20"/>
                <w:lang w:val="uk-UA"/>
              </w:rPr>
              <w:lastRenderedPageBreak/>
              <w:t>українською мовою.</w:t>
            </w:r>
          </w:p>
          <w:p w:rsidR="00313CC7" w:rsidRPr="00556889" w:rsidRDefault="00313CC7" w:rsidP="00B564C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F46412">
              <w:rPr>
                <w:rFonts w:ascii="Times New Roman" w:eastAsia="MS Mincho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 xml:space="preserve">Більш детальну інформацію та зразки </w:t>
            </w:r>
            <w:proofErr w:type="spellStart"/>
            <w:r w:rsidRPr="00F46412">
              <w:rPr>
                <w:rFonts w:ascii="Times New Roman" w:eastAsia="MS Mincho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  <w:r w:rsidRPr="00F46412">
              <w:rPr>
                <w:rFonts w:ascii="Times New Roman" w:eastAsia="MS Mincho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 xml:space="preserve"> попередніх років можна знайти за посиланням: </w:t>
            </w:r>
            <w:r w:rsidR="00556889" w:rsidRPr="00556889">
              <w:rPr>
                <w:rFonts w:ascii="Times New Roman" w:eastAsia="MS Mincho" w:hAnsi="Times New Roman" w:cs="Times New Roman"/>
                <w:bCs/>
                <w:iCs/>
                <w:color w:val="000000"/>
                <w:sz w:val="20"/>
                <w:szCs w:val="20"/>
                <w:lang w:val="uk-UA"/>
              </w:rPr>
              <w:t>https://moodle.znu.edu.ua/course/view.php?id=15204</w:t>
            </w:r>
          </w:p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13CC7" w:rsidRPr="00F46412" w:rsidRDefault="00313CC7" w:rsidP="00B564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20</w:t>
            </w:r>
          </w:p>
        </w:tc>
      </w:tr>
      <w:tr w:rsidR="00313CC7" w:rsidRPr="00F46412" w:rsidTr="00B564C1">
        <w:tc>
          <w:tcPr>
            <w:tcW w:w="851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sz w:val="20"/>
                <w:szCs w:val="20"/>
                <w:lang w:val="uk-UA" w:eastAsia="ar-SA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9639" w:type="dxa"/>
            <w:gridSpan w:val="3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313CC7" w:rsidRPr="00F46412" w:rsidRDefault="00313CC7" w:rsidP="00B564C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6412">
              <w:rPr>
                <w:rFonts w:ascii="Times New Roman" w:eastAsia="Calibri" w:hAnsi="Times New Roman" w:cs="Times New Roman"/>
                <w:b/>
                <w:lang w:val="uk-UA" w:eastAsia="ar-SA"/>
              </w:rPr>
              <w:t>40</w:t>
            </w:r>
          </w:p>
        </w:tc>
      </w:tr>
    </w:tbl>
    <w:p w:rsidR="005D43AB" w:rsidRPr="00556889" w:rsidRDefault="00313CC7" w:rsidP="005568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5568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5568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Pr="005568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Рекомендована </w:t>
      </w:r>
      <w:r w:rsidRPr="00556889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література</w:t>
      </w:r>
    </w:p>
    <w:p w:rsidR="005D43AB" w:rsidRPr="005C043E" w:rsidRDefault="005D43AB" w:rsidP="007121B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/>
        </w:rPr>
      </w:pPr>
      <w:r w:rsidRPr="005C043E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uk-UA"/>
        </w:rPr>
        <w:t>Основна</w:t>
      </w:r>
    </w:p>
    <w:p w:rsidR="005C043E" w:rsidRPr="005C043E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Бондаренко І. С. </w:t>
      </w:r>
      <w:proofErr w:type="spellStart"/>
      <w:r w:rsidR="00ED51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Імідже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логія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системі гуманітарних знань: культурн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о-о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світні стратегії: монографія. 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Запоріжжя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Запорізький на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ціональний університет, 2016. 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320 с. (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978-966-599-541-8)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C043E" w:rsidRPr="00ED514D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Джеймс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Лалл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медіа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комунікація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культура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Глобальний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підхід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иїв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І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2002.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14D" w:rsidRPr="00ED514D" w:rsidRDefault="00ED514D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Кара-Мурза С. Г. Власть манипуляции. </w:t>
      </w:r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Академический проект, 2007. 380 с. </w:t>
      </w:r>
    </w:p>
    <w:p w:rsidR="00ED514D" w:rsidRPr="00ED514D" w:rsidRDefault="00ED514D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дім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Києво-Могилянська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академія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2008. 206 c.</w:t>
      </w:r>
    </w:p>
    <w:p w:rsidR="00ED514D" w:rsidRPr="00ED514D" w:rsidRDefault="00ED514D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Кіслов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монографія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Віпол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300 с.</w:t>
      </w:r>
    </w:p>
    <w:p w:rsidR="005C043E" w:rsidRPr="005C043E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Королько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Паблік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лейшнз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Наукові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основи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методика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практика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иїв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Скарби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400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43E" w:rsidRPr="005C043E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Матвиенко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Я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Социальные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технологи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и.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иїв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Українські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прометеї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2000. 446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43E" w:rsidRPr="005C043E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Макаренко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Є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Європейська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інформаційна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політика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иїв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Наук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видав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центр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„Наша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культура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і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наука”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2000.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368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14D" w:rsidRPr="00ED514D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Медіакультура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контексті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міждисциплінарних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монографія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за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Березенко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Лепського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О. </w:t>
      </w:r>
      <w:proofErr w:type="spellStart"/>
      <w:proofErr w:type="gram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Семенець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ед. К. Г. 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Сіріньок-Долгарьова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Запоріжжя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Кераміст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309 с.</w:t>
      </w:r>
    </w:p>
    <w:p w:rsidR="00ED514D" w:rsidRPr="00ED514D" w:rsidRDefault="00ED514D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Почепцов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Г. Від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покемонів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гібридних війн: нові комунікативні технології 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r w:rsidRPr="00ED51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століття. Київ : Видавничий дім “КМА”, 2017. 260 с.</w:t>
      </w:r>
    </w:p>
    <w:p w:rsidR="00ED514D" w:rsidRPr="00ED514D" w:rsidRDefault="00ED514D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Почепцов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Комунікативний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інжиніринг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практика: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Альтпрес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 408 с.</w:t>
      </w:r>
    </w:p>
    <w:p w:rsidR="005C043E" w:rsidRPr="00ED514D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Почепцов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Теория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коммуникации</w:t>
      </w:r>
      <w:r w:rsidR="00C0685C" w:rsidRPr="00ED51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gramStart"/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proofErr w:type="spellStart"/>
      <w:r w:rsidR="00C0685C" w:rsidRPr="00ED51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осква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„Реал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51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бук”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„</w:t>
      </w:r>
      <w:proofErr w:type="spellStart"/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Ваклер</w:t>
      </w:r>
      <w:proofErr w:type="spellEnd"/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”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656 </w:t>
      </w:r>
      <w:r w:rsidRPr="00ED514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43E" w:rsidRPr="005C043E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lastRenderedPageBreak/>
        <w:t>Почепцов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Коммуникативные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технологии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ХХ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века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gram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осква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„Реал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бук”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иїв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„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Ваклер</w:t>
      </w:r>
      <w:proofErr w:type="spellEnd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”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352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43E" w:rsidRPr="005C043E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Почепцов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Информационные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войны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gram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осква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Изд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во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„Люберецкая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газета”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2001.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–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574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43E" w:rsidRPr="005C043E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Прикладні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соціально-комунікаційні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монографія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[І. Г. Абрамова, В. В.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Березенко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С. Бондаренко та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.]; за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В. М.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Манакіна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ред. В. В.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Березенко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О.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Семенець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43E">
        <w:t xml:space="preserve"> </w:t>
      </w:r>
      <w:proofErr w:type="spellStart"/>
      <w:proofErr w:type="gram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Запоріжжя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</w:t>
      </w:r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ізький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2016.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332 с.</w:t>
      </w:r>
    </w:p>
    <w:p w:rsidR="005C043E" w:rsidRPr="005C043E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Різун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Маси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proofErr w:type="spell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екст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685C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лекці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й.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иїв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Вид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центр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„КУ”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2003.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 </w:t>
      </w:r>
      <w:r w:rsidRPr="005C043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43E" w:rsidRPr="005C043E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Скуленко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И.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Журналистика</w:t>
      </w:r>
      <w:proofErr w:type="spellEnd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пропаганда. Київ : Вища школа, 1987. 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117с.</w:t>
      </w:r>
    </w:p>
    <w:p w:rsidR="005C043E" w:rsidRPr="00ED514D" w:rsidRDefault="005C043E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Скуленко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И.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История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политической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пропаганд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Київ: Либідь, 1990.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164 с.</w:t>
      </w:r>
    </w:p>
    <w:p w:rsidR="00ED514D" w:rsidRPr="00ED514D" w:rsidRDefault="00ED514D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заради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чином? з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результатом?: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монографія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колектив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авторів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наук. ред. В. І.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Подшивалкіна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Одеса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Одеський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національний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університет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І. Мечникова, 2014. 546 с.</w:t>
      </w:r>
    </w:p>
    <w:p w:rsidR="00ED514D" w:rsidRPr="00ED514D" w:rsidRDefault="00ED514D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Стоцький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політичному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дискурсі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ЗМІ в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</w:t>
      </w:r>
      <w:proofErr w:type="spellEnd"/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23.00.02. Одеса, 2010. 20 с.</w:t>
      </w:r>
    </w:p>
    <w:p w:rsidR="00ED514D" w:rsidRPr="00ED514D" w:rsidRDefault="00ED514D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Суїменко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 І.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Соціальна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інженерія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Експериментальний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лекцій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соціології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2011. 224 с.</w:t>
      </w:r>
    </w:p>
    <w:p w:rsidR="00ED514D" w:rsidRPr="00ED514D" w:rsidRDefault="00ED514D" w:rsidP="00ED514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Сурмин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П. Теория социальных технологий: учеб. пособие. </w:t>
      </w:r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МАУП, 2004. 608 с.</w:t>
      </w:r>
    </w:p>
    <w:p w:rsidR="00ED514D" w:rsidRPr="00ED514D" w:rsidRDefault="00ED514D" w:rsidP="00ED514D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маніпулювання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свідомістю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В. М. Петрик [та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.]. </w:t>
      </w:r>
      <w:proofErr w:type="spellStart"/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Росава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208 c.</w:t>
      </w:r>
    </w:p>
    <w:p w:rsidR="00ED514D" w:rsidRPr="00ED514D" w:rsidRDefault="00ED514D" w:rsidP="00ED514D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Холод О. М.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Комунікаційні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підручник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учбової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2013. 213 с.</w:t>
      </w:r>
    </w:p>
    <w:p w:rsidR="00ED514D" w:rsidRPr="00ED514D" w:rsidRDefault="00ED514D" w:rsidP="00ED514D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Шведа Ю. Р.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Політичні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виборах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практика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кампанії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 373 с.</w:t>
      </w:r>
    </w:p>
    <w:p w:rsidR="00ED514D" w:rsidRPr="00ED514D" w:rsidRDefault="00ED514D" w:rsidP="00ED514D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Шепель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 Профессия имиджмейкер. Ростов-на-</w:t>
      </w:r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2008. 523 с.</w:t>
      </w:r>
    </w:p>
    <w:p w:rsidR="00ED514D" w:rsidRPr="005C043E" w:rsidRDefault="00ED514D" w:rsidP="00ED514D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Яковлєва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І. Пропаганда як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складова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комунікації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канд.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</w:t>
      </w:r>
      <w:proofErr w:type="spellEnd"/>
      <w:proofErr w:type="gram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23.00.02. </w:t>
      </w:r>
      <w:proofErr w:type="spellStart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</w:t>
      </w:r>
      <w:proofErr w:type="spellEnd"/>
      <w:r w:rsidRPr="00ED514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20 с.</w:t>
      </w:r>
    </w:p>
    <w:p w:rsidR="005D43AB" w:rsidRDefault="005D43AB" w:rsidP="00ED514D">
      <w:pPr>
        <w:tabs>
          <w:tab w:val="left" w:pos="426"/>
        </w:tabs>
        <w:spacing w:after="0" w:line="240" w:lineRule="auto"/>
        <w:ind w:left="1134" w:hanging="425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5D43AB">
        <w:rPr>
          <w:rFonts w:ascii="Times New Roman" w:eastAsia="Calibri" w:hAnsi="Times New Roman" w:cs="Times New Roman"/>
          <w:b/>
          <w:sz w:val="24"/>
          <w:szCs w:val="24"/>
        </w:rPr>
        <w:t>Додаткова</w:t>
      </w:r>
      <w:proofErr w:type="spellEnd"/>
    </w:p>
    <w:p w:rsidR="005C043E" w:rsidRPr="005C043E" w:rsidRDefault="005C043E" w:rsidP="00ED514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 Р. Мифологии</w:t>
      </w:r>
      <w:r w:rsidRPr="005C04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[пер. с фр.,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вступ. ст. и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5C04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С.Н.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Зенкина</w:t>
      </w:r>
      <w:r w:rsidRPr="005C04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]</w:t>
      </w:r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proofErr w:type="spellStart"/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осква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</w:t>
      </w:r>
      <w:r w:rsidR="00C0685C">
        <w:rPr>
          <w:rFonts w:ascii="Times New Roman" w:eastAsia="Times New Roman" w:hAnsi="Times New Roman" w:cs="Times New Roman"/>
          <w:sz w:val="24"/>
          <w:szCs w:val="24"/>
          <w:lang w:eastAsia="ru-RU"/>
        </w:rPr>
        <w:t>д-во имени Сабашниковых, 1996.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312 с.</w:t>
      </w:r>
    </w:p>
    <w:p w:rsidR="005C043E" w:rsidRPr="005C043E" w:rsidRDefault="005C043E" w:rsidP="00ED514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Гриценко О., Шкляр В. Основи 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теорії міжнародної журналістики. Київ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Вид.-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полігр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Центр </w:t>
      </w:r>
      <w:r w:rsidRP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</w:t>
      </w:r>
      <w:r w:rsidRP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</w:t>
      </w:r>
      <w:r w:rsidR="00C06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2002.</w:t>
      </w:r>
      <w:r w:rsidR="00EF5C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304 с.</w:t>
      </w:r>
    </w:p>
    <w:p w:rsidR="005C043E" w:rsidRPr="005C043E" w:rsidRDefault="005C043E" w:rsidP="00ED514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Зернецька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О.В. Глобальний розвиток систем масової кому</w:t>
      </w:r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нікації і  міжнародні відносини. Київ : Освіта, 1999.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351 с.</w:t>
      </w:r>
    </w:p>
    <w:p w:rsidR="005C043E" w:rsidRPr="005C043E" w:rsidRDefault="005C043E" w:rsidP="00ED514D">
      <w:pPr>
        <w:numPr>
          <w:ilvl w:val="0"/>
          <w:numId w:val="8"/>
        </w:numPr>
        <w:tabs>
          <w:tab w:val="clear" w:pos="720"/>
          <w:tab w:val="left" w:pos="54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Шепель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Имиджело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гия</w:t>
      </w:r>
      <w:proofErr w:type="spellEnd"/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Секреты личного обаяния.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2-е изд.,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Київ 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proofErr w:type="gramEnd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спорт, ЮНИТИ, 1997.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339с.</w:t>
      </w:r>
    </w:p>
    <w:p w:rsidR="005C043E" w:rsidRPr="005C043E" w:rsidRDefault="005C043E" w:rsidP="00ED514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 С.И. Управление карьерой: </w:t>
      </w:r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</w:t>
      </w:r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Start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осква</w:t>
      </w:r>
      <w:proofErr w:type="spellEnd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2001.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408 с.</w:t>
      </w:r>
    </w:p>
    <w:p w:rsidR="005C043E" w:rsidRPr="005C043E" w:rsidRDefault="005C043E" w:rsidP="00ED514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лыгина Е.Б. Психология имиджа: </w:t>
      </w:r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чебное</w:t>
      </w:r>
      <w:proofErr w:type="spellEnd"/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</w:t>
      </w:r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1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Аспект Пресс, 2002. </w:t>
      </w:r>
      <w:r w:rsidRPr="005C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223с. </w:t>
      </w:r>
    </w:p>
    <w:p w:rsidR="005C043E" w:rsidRPr="005C043E" w:rsidRDefault="005C043E" w:rsidP="00ED514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spellStart"/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Горчак</w:t>
      </w:r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ова</w:t>
      </w:r>
      <w:proofErr w:type="spellEnd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В.Г. </w:t>
      </w:r>
      <w:proofErr w:type="spellStart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Прикладная</w:t>
      </w:r>
      <w:proofErr w:type="spellEnd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имиджелогия</w:t>
      </w:r>
      <w:proofErr w:type="spellEnd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 н/Д</w:t>
      </w:r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</w:t>
      </w:r>
      <w:proofErr w:type="spellStart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Феникс</w:t>
      </w:r>
      <w:proofErr w:type="spellEnd"/>
      <w:r w:rsidR="001218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2010. </w:t>
      </w:r>
      <w:r w:rsidRPr="005C04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478 с.</w:t>
      </w:r>
    </w:p>
    <w:p w:rsidR="005C043E" w:rsidRPr="00ED514D" w:rsidRDefault="005C043E" w:rsidP="00ED514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C04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Кара-Мурза С. Г. Манипуляция сознанием</w:t>
      </w:r>
      <w:r w:rsidR="001218C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. </w:t>
      </w:r>
      <w:r w:rsidRPr="005C04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</w:t>
      </w:r>
      <w:r w:rsidR="001218C3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осква </w:t>
      </w:r>
      <w:r w:rsidR="001218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 Алгоритм, 2000.</w:t>
      </w:r>
      <w:r w:rsidRPr="005C043E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369 с.</w:t>
      </w:r>
    </w:p>
    <w:p w:rsidR="00ED514D" w:rsidRPr="00ED514D" w:rsidRDefault="00ED514D" w:rsidP="00ED514D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Gaber I. Government by spin: An analysis of the process. Media, Culture and Society. 2000. 22(4).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Рр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. 507-518.</w:t>
      </w:r>
    </w:p>
    <w:p w:rsidR="00ED514D" w:rsidRPr="00ED514D" w:rsidRDefault="00ED514D" w:rsidP="00ED514D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Ewart J. Social Technologies and Collective Intelligence: Monograph.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Vilnius : Mykolas Romeris University, 2015. 628 p.</w:t>
      </w:r>
    </w:p>
    <w:p w:rsidR="00ED514D" w:rsidRPr="00ED514D" w:rsidRDefault="00ED514D" w:rsidP="00ED514D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Marx L. Technology The Emergence of a Hazardous Concept. Technology and Culture. 2010. Vol. 51. N. 3.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Рp. 561-577. DOI : 10.1353/tech.2010.0009. </w:t>
      </w:r>
    </w:p>
    <w:p w:rsidR="00ED514D" w:rsidRPr="00ED514D" w:rsidRDefault="00ED514D" w:rsidP="00ED514D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lastRenderedPageBreak/>
        <w:t xml:space="preserve">Mitcham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. Thinking through Technology: The Path between Engineering and Philosophy. University Of Chicago Press, 1994. URL : http://lib1.org/_ads/D2224107CBAB9F69FE32E52F1EECDB75.</w:t>
      </w:r>
    </w:p>
    <w:p w:rsidR="00ED514D" w:rsidRPr="00ED514D" w:rsidRDefault="00ED514D" w:rsidP="00ED514D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Tamošiūnaitė R. Socialinių technologijų taikymo galimybės gyventojų dalyvavimui viešojo valdymo sprendimų priėmimo procesuose: daktaro disertacija.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Vilnius, Lituania: Mykolas Romeris University, 2018. 222 р.</w:t>
      </w:r>
    </w:p>
    <w:p w:rsidR="00ED514D" w:rsidRPr="00ED514D" w:rsidRDefault="00ED514D" w:rsidP="00ED514D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Tamošiūnaitė R., Skaržauskaitė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. Theoretical Insights for Developing the Concept of Social Technologies. Social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echnologies. 2012/ 2(2).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p. 263-272. URL : https://www3.mruni.eu/ojs/social-technologies/article/view/198/189.</w:t>
      </w:r>
    </w:p>
    <w:p w:rsidR="00ED514D" w:rsidRPr="00ED514D" w:rsidRDefault="00ED514D" w:rsidP="00ED514D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Valentini C. Spin Doctoring. The International Encyclopedia of Political Communication.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2016. Рр. 1-5. DOI :10.1002/9781118541555.wbiepc035.</w:t>
      </w:r>
    </w:p>
    <w:p w:rsidR="00ED514D" w:rsidRPr="00ED514D" w:rsidRDefault="00ED514D" w:rsidP="00ED514D">
      <w:pPr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</w:pP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Wieckowski, A. T., White, S. W. Application of technology to social communication impairment in childhood and adolescence. </w:t>
      </w:r>
      <w:r w:rsidRPr="00ED514D">
        <w:rPr>
          <w:rFonts w:ascii="Times New Roman" w:eastAsia="Times New Roman" w:hAnsi="Times New Roman" w:cs="Times New Roman"/>
          <w:i/>
          <w:noProof/>
          <w:sz w:val="24"/>
          <w:szCs w:val="24"/>
          <w:lang w:val="en-US" w:eastAsia="ru-RU"/>
        </w:rPr>
        <w:t>Neuroscience &amp; Biobehavioral Reviews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. 2017. Vol. 74.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Рр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. 98-114. DOI :10.1016/j.neubiorev.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 xml:space="preserve"> </w:t>
      </w:r>
      <w:r w:rsidRPr="00ED514D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2016.12.030.</w:t>
      </w:r>
    </w:p>
    <w:p w:rsidR="007121B8" w:rsidRDefault="007121B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5D43AB" w:rsidRPr="005D43AB" w:rsidRDefault="005D43AB" w:rsidP="005D43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D43A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Доповнення</w:t>
      </w:r>
      <w:proofErr w:type="spellEnd"/>
      <w:r w:rsidRPr="005D43AB">
        <w:rPr>
          <w:rFonts w:ascii="Times New Roman" w:eastAsia="Calibri" w:hAnsi="Times New Roman" w:cs="Times New Roman"/>
          <w:b/>
          <w:sz w:val="28"/>
          <w:szCs w:val="28"/>
        </w:rPr>
        <w:t xml:space="preserve"> та </w:t>
      </w:r>
      <w:proofErr w:type="spellStart"/>
      <w:r w:rsidRPr="005D43AB">
        <w:rPr>
          <w:rFonts w:ascii="Times New Roman" w:eastAsia="Calibri" w:hAnsi="Times New Roman" w:cs="Times New Roman"/>
          <w:b/>
          <w:sz w:val="28"/>
          <w:szCs w:val="28"/>
        </w:rPr>
        <w:t>зміни</w:t>
      </w:r>
      <w:proofErr w:type="spellEnd"/>
      <w:r w:rsidRPr="005D43AB">
        <w:rPr>
          <w:rFonts w:ascii="Times New Roman" w:eastAsia="Calibri" w:hAnsi="Times New Roman" w:cs="Times New Roman"/>
          <w:b/>
          <w:sz w:val="28"/>
          <w:szCs w:val="28"/>
        </w:rPr>
        <w:t xml:space="preserve"> до </w:t>
      </w:r>
      <w:proofErr w:type="spellStart"/>
      <w:r w:rsidRPr="005D43AB">
        <w:rPr>
          <w:rFonts w:ascii="Times New Roman" w:eastAsia="Calibri" w:hAnsi="Times New Roman" w:cs="Times New Roman"/>
          <w:b/>
          <w:sz w:val="28"/>
          <w:szCs w:val="28"/>
        </w:rPr>
        <w:t>робочої</w:t>
      </w:r>
      <w:proofErr w:type="spellEnd"/>
      <w:r w:rsidRPr="005D43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D43AB">
        <w:rPr>
          <w:rFonts w:ascii="Times New Roman" w:eastAsia="Calibri" w:hAnsi="Times New Roman" w:cs="Times New Roman"/>
          <w:b/>
          <w:sz w:val="28"/>
          <w:szCs w:val="28"/>
        </w:rPr>
        <w:t>програми</w:t>
      </w:r>
      <w:proofErr w:type="spellEnd"/>
      <w:r w:rsidRPr="005D43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D43AB">
        <w:rPr>
          <w:rFonts w:ascii="Times New Roman" w:eastAsia="Calibri" w:hAnsi="Times New Roman" w:cs="Times New Roman"/>
          <w:b/>
          <w:sz w:val="28"/>
          <w:szCs w:val="28"/>
        </w:rPr>
        <w:t>навчальної</w:t>
      </w:r>
      <w:proofErr w:type="spellEnd"/>
      <w:r w:rsidRPr="005D43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D43AB">
        <w:rPr>
          <w:rFonts w:ascii="Times New Roman" w:eastAsia="Calibri" w:hAnsi="Times New Roman" w:cs="Times New Roman"/>
          <w:b/>
          <w:sz w:val="28"/>
          <w:szCs w:val="28"/>
        </w:rPr>
        <w:t>дисципліни</w:t>
      </w:r>
      <w:proofErr w:type="spellEnd"/>
    </w:p>
    <w:p w:rsidR="005D43AB" w:rsidRPr="005D43AB" w:rsidRDefault="005D43AB" w:rsidP="005D43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3A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7121B8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Теорія масової комунікації. Комунікаційні технології</w:t>
      </w:r>
      <w:r w:rsidRPr="005D43A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580"/>
        <w:gridCol w:w="1940"/>
      </w:tblGrid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AB" w:rsidRPr="005D43AB" w:rsidRDefault="005D43AB" w:rsidP="005D43A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Протокол </w:t>
            </w:r>
            <w:proofErr w:type="spellStart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>засідання</w:t>
            </w:r>
            <w:proofErr w:type="spellEnd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>кафедри</w:t>
            </w:r>
            <w:proofErr w:type="spellEnd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(дата та номер)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>Внесені</w:t>
            </w:r>
            <w:proofErr w:type="spellEnd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>зміни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>Підпис</w:t>
            </w:r>
            <w:proofErr w:type="spellEnd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>завідувача</w:t>
            </w:r>
            <w:proofErr w:type="spellEnd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>кафедри</w:t>
            </w:r>
            <w:proofErr w:type="spellEnd"/>
            <w:r w:rsidRPr="005D43AB">
              <w:rPr>
                <w:rFonts w:ascii="Times New Roman" w:eastAsia="Calibri" w:hAnsi="Times New Roman" w:cs="Times New Roman"/>
                <w:sz w:val="18"/>
                <w:szCs w:val="18"/>
              </w:rPr>
              <w:t>, дата</w:t>
            </w: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5D43A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43AB" w:rsidRPr="005D43AB" w:rsidTr="005D43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AB" w:rsidRPr="005D43AB" w:rsidRDefault="005D43AB" w:rsidP="005D43AB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5D43AB" w:rsidRPr="005D43AB" w:rsidRDefault="005D43AB" w:rsidP="005D43A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43AB" w:rsidRPr="005D43AB" w:rsidRDefault="005D43AB" w:rsidP="005D43AB">
      <w:pPr>
        <w:rPr>
          <w:rFonts w:ascii="Times New Roman" w:eastAsia="Calibri" w:hAnsi="Times New Roman" w:cs="Times New Roman"/>
          <w:sz w:val="28"/>
          <w:lang w:val="uk-UA"/>
        </w:rPr>
      </w:pPr>
    </w:p>
    <w:p w:rsidR="005D43AB" w:rsidRPr="005D43AB" w:rsidRDefault="005D43AB" w:rsidP="005D43AB">
      <w:pPr>
        <w:rPr>
          <w:rFonts w:ascii="Times New Roman" w:eastAsia="Calibri" w:hAnsi="Times New Roman" w:cs="Times New Roman"/>
          <w:sz w:val="28"/>
        </w:rPr>
      </w:pPr>
    </w:p>
    <w:p w:rsidR="005D43AB" w:rsidRPr="005D43AB" w:rsidRDefault="005D43AB" w:rsidP="005D43AB"/>
    <w:p w:rsidR="00A661AB" w:rsidRDefault="00A661AB"/>
    <w:sectPr w:rsidR="00A661AB" w:rsidSect="00D872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EEF"/>
    <w:multiLevelType w:val="hybridMultilevel"/>
    <w:tmpl w:val="10C6D8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C45770"/>
    <w:multiLevelType w:val="hybridMultilevel"/>
    <w:tmpl w:val="39224AF0"/>
    <w:lvl w:ilvl="0" w:tplc="D9180C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2594"/>
    <w:multiLevelType w:val="hybridMultilevel"/>
    <w:tmpl w:val="2E004482"/>
    <w:lvl w:ilvl="0" w:tplc="9F7CF52C">
      <w:numFmt w:val="bullet"/>
      <w:lvlText w:val="-"/>
      <w:lvlJc w:val="left"/>
      <w:pPr>
        <w:ind w:left="1144" w:hanging="43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EB47B2B"/>
    <w:multiLevelType w:val="hybridMultilevel"/>
    <w:tmpl w:val="04D22B30"/>
    <w:lvl w:ilvl="0" w:tplc="4B44062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7723D"/>
    <w:multiLevelType w:val="hybridMultilevel"/>
    <w:tmpl w:val="FCFA9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3320"/>
    <w:multiLevelType w:val="hybridMultilevel"/>
    <w:tmpl w:val="62B42A60"/>
    <w:lvl w:ilvl="0" w:tplc="C2C8F15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248"/>
    <w:multiLevelType w:val="hybridMultilevel"/>
    <w:tmpl w:val="D8609226"/>
    <w:lvl w:ilvl="0" w:tplc="4B44062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1012BC"/>
    <w:multiLevelType w:val="hybridMultilevel"/>
    <w:tmpl w:val="B6347B86"/>
    <w:lvl w:ilvl="0" w:tplc="9F7CF52C">
      <w:numFmt w:val="bullet"/>
      <w:lvlText w:val="-"/>
      <w:lvlJc w:val="left"/>
      <w:pPr>
        <w:ind w:left="1144" w:hanging="43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A4E9A"/>
    <w:multiLevelType w:val="hybridMultilevel"/>
    <w:tmpl w:val="48AE9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D3B96"/>
    <w:multiLevelType w:val="hybridMultilevel"/>
    <w:tmpl w:val="37B6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9409E"/>
    <w:multiLevelType w:val="hybridMultilevel"/>
    <w:tmpl w:val="619E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E35F8"/>
    <w:multiLevelType w:val="hybridMultilevel"/>
    <w:tmpl w:val="65A2679E"/>
    <w:lvl w:ilvl="0" w:tplc="914A6718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64B1AA5"/>
    <w:multiLevelType w:val="hybridMultilevel"/>
    <w:tmpl w:val="94E46DE2"/>
    <w:lvl w:ilvl="0" w:tplc="1D4C5D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B3C31F8"/>
    <w:multiLevelType w:val="hybridMultilevel"/>
    <w:tmpl w:val="890616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EF5A74"/>
    <w:multiLevelType w:val="hybridMultilevel"/>
    <w:tmpl w:val="3EF6F5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516F8"/>
    <w:multiLevelType w:val="hybridMultilevel"/>
    <w:tmpl w:val="FF2CF518"/>
    <w:lvl w:ilvl="0" w:tplc="A2FE7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C1806">
      <w:numFmt w:val="none"/>
      <w:lvlText w:val=""/>
      <w:lvlJc w:val="left"/>
      <w:pPr>
        <w:tabs>
          <w:tab w:val="num" w:pos="360"/>
        </w:tabs>
      </w:pPr>
    </w:lvl>
    <w:lvl w:ilvl="2" w:tplc="E91A302C">
      <w:numFmt w:val="none"/>
      <w:lvlText w:val=""/>
      <w:lvlJc w:val="left"/>
      <w:pPr>
        <w:tabs>
          <w:tab w:val="num" w:pos="360"/>
        </w:tabs>
      </w:pPr>
    </w:lvl>
    <w:lvl w:ilvl="3" w:tplc="56F683EC">
      <w:numFmt w:val="none"/>
      <w:lvlText w:val=""/>
      <w:lvlJc w:val="left"/>
      <w:pPr>
        <w:tabs>
          <w:tab w:val="num" w:pos="360"/>
        </w:tabs>
      </w:pPr>
    </w:lvl>
    <w:lvl w:ilvl="4" w:tplc="96E8B7FA">
      <w:numFmt w:val="none"/>
      <w:lvlText w:val=""/>
      <w:lvlJc w:val="left"/>
      <w:pPr>
        <w:tabs>
          <w:tab w:val="num" w:pos="360"/>
        </w:tabs>
      </w:pPr>
    </w:lvl>
    <w:lvl w:ilvl="5" w:tplc="609EF256">
      <w:numFmt w:val="none"/>
      <w:lvlText w:val=""/>
      <w:lvlJc w:val="left"/>
      <w:pPr>
        <w:tabs>
          <w:tab w:val="num" w:pos="360"/>
        </w:tabs>
      </w:pPr>
    </w:lvl>
    <w:lvl w:ilvl="6" w:tplc="50EAAF66">
      <w:numFmt w:val="none"/>
      <w:lvlText w:val=""/>
      <w:lvlJc w:val="left"/>
      <w:pPr>
        <w:tabs>
          <w:tab w:val="num" w:pos="360"/>
        </w:tabs>
      </w:pPr>
    </w:lvl>
    <w:lvl w:ilvl="7" w:tplc="5C883A7C">
      <w:numFmt w:val="none"/>
      <w:lvlText w:val=""/>
      <w:lvlJc w:val="left"/>
      <w:pPr>
        <w:tabs>
          <w:tab w:val="num" w:pos="360"/>
        </w:tabs>
      </w:pPr>
    </w:lvl>
    <w:lvl w:ilvl="8" w:tplc="18A83D4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18A0C12"/>
    <w:multiLevelType w:val="hybridMultilevel"/>
    <w:tmpl w:val="94CE0B94"/>
    <w:lvl w:ilvl="0" w:tplc="878098F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B460F28"/>
    <w:multiLevelType w:val="hybridMultilevel"/>
    <w:tmpl w:val="48A69ED2"/>
    <w:lvl w:ilvl="0" w:tplc="4B44062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86E66"/>
    <w:multiLevelType w:val="hybridMultilevel"/>
    <w:tmpl w:val="2B6E9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8A1410"/>
    <w:multiLevelType w:val="hybridMultilevel"/>
    <w:tmpl w:val="CD0A98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14"/>
  </w:num>
  <w:num w:numId="7">
    <w:abstractNumId w:val="19"/>
  </w:num>
  <w:num w:numId="8">
    <w:abstractNumId w:val="8"/>
  </w:num>
  <w:num w:numId="9">
    <w:abstractNumId w:val="9"/>
  </w:num>
  <w:num w:numId="10">
    <w:abstractNumId w:val="0"/>
  </w:num>
  <w:num w:numId="11">
    <w:abstractNumId w:val="16"/>
  </w:num>
  <w:num w:numId="12">
    <w:abstractNumId w:val="15"/>
  </w:num>
  <w:num w:numId="13">
    <w:abstractNumId w:val="18"/>
  </w:num>
  <w:num w:numId="14">
    <w:abstractNumId w:val="12"/>
  </w:num>
  <w:num w:numId="15">
    <w:abstractNumId w:val="17"/>
  </w:num>
  <w:num w:numId="16">
    <w:abstractNumId w:val="3"/>
  </w:num>
  <w:num w:numId="17">
    <w:abstractNumId w:val="2"/>
  </w:num>
  <w:num w:numId="18">
    <w:abstractNumId w:val="7"/>
  </w:num>
  <w:num w:numId="19">
    <w:abstractNumId w:val="11"/>
  </w:num>
  <w:num w:numId="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AB"/>
    <w:rsid w:val="001218C3"/>
    <w:rsid w:val="001C49F7"/>
    <w:rsid w:val="00266B4D"/>
    <w:rsid w:val="00273C2C"/>
    <w:rsid w:val="002F2C16"/>
    <w:rsid w:val="00313CC7"/>
    <w:rsid w:val="0042563B"/>
    <w:rsid w:val="00487B1C"/>
    <w:rsid w:val="00556889"/>
    <w:rsid w:val="005C043E"/>
    <w:rsid w:val="005D43AB"/>
    <w:rsid w:val="006835D9"/>
    <w:rsid w:val="007121B8"/>
    <w:rsid w:val="00726690"/>
    <w:rsid w:val="007700A5"/>
    <w:rsid w:val="007947BE"/>
    <w:rsid w:val="007E2A6B"/>
    <w:rsid w:val="00811DA1"/>
    <w:rsid w:val="00944A77"/>
    <w:rsid w:val="00A349F7"/>
    <w:rsid w:val="00A661AB"/>
    <w:rsid w:val="00AE2B96"/>
    <w:rsid w:val="00B457FD"/>
    <w:rsid w:val="00BB6EA1"/>
    <w:rsid w:val="00C0685C"/>
    <w:rsid w:val="00C27D0E"/>
    <w:rsid w:val="00C65814"/>
    <w:rsid w:val="00C76055"/>
    <w:rsid w:val="00D3344E"/>
    <w:rsid w:val="00D8726D"/>
    <w:rsid w:val="00ED514D"/>
    <w:rsid w:val="00ED51DE"/>
    <w:rsid w:val="00EE2C0A"/>
    <w:rsid w:val="00EF5C3D"/>
    <w:rsid w:val="00F1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31B3"/>
  <w15:docId w15:val="{A351F270-3FAB-4F4B-92A6-FA5A4058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3A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43A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D43A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A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D43A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43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43AB"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basedOn w:val="a0"/>
    <w:link w:val="4"/>
    <w:uiPriority w:val="9"/>
    <w:rsid w:val="005D43AB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43AB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0"/>
    <w:link w:val="6"/>
    <w:uiPriority w:val="9"/>
    <w:rsid w:val="005D43AB"/>
    <w:rPr>
      <w:rFonts w:ascii="Cambria" w:eastAsia="Times New Roman" w:hAnsi="Cambria" w:cs="Times New Roman"/>
      <w:i/>
      <w:iCs/>
      <w:color w:val="243F60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5D43AB"/>
  </w:style>
  <w:style w:type="character" w:styleId="a3">
    <w:name w:val="Hyperlink"/>
    <w:basedOn w:val="a0"/>
    <w:uiPriority w:val="99"/>
    <w:unhideWhenUsed/>
    <w:rsid w:val="005D43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D43AB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D43AB"/>
    <w:rPr>
      <w:rFonts w:ascii="Times New Roman" w:eastAsia="Calibri" w:hAnsi="Times New Roman" w:cs="Times New Roman"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5D43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43AB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5D43AB"/>
    <w:pPr>
      <w:ind w:left="708"/>
    </w:pPr>
    <w:rPr>
      <w:rFonts w:ascii="Times New Roman" w:eastAsia="Calibri" w:hAnsi="Times New Roman" w:cs="Times New Roman"/>
      <w:sz w:val="28"/>
    </w:rPr>
  </w:style>
  <w:style w:type="paragraph" w:customStyle="1" w:styleId="10">
    <w:name w:val="Стиль1"/>
    <w:basedOn w:val="a"/>
    <w:qFormat/>
    <w:rsid w:val="005D43AB"/>
    <w:pPr>
      <w:tabs>
        <w:tab w:val="left" w:pos="567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uk-UA"/>
    </w:rPr>
  </w:style>
  <w:style w:type="paragraph" w:customStyle="1" w:styleId="Oeoaou">
    <w:name w:val="Oeoaou"/>
    <w:uiPriority w:val="99"/>
    <w:rsid w:val="005D43A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5D43AB"/>
    <w:rPr>
      <w:b/>
      <w:bCs/>
    </w:rPr>
  </w:style>
  <w:style w:type="paragraph" w:styleId="ab">
    <w:name w:val="No Spacing"/>
    <w:uiPriority w:val="99"/>
    <w:qFormat/>
    <w:rsid w:val="005D43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ps">
    <w:name w:val="hps"/>
    <w:basedOn w:val="a0"/>
    <w:rsid w:val="005D43AB"/>
  </w:style>
  <w:style w:type="character" w:customStyle="1" w:styleId="apple-converted-space">
    <w:name w:val="apple-converted-space"/>
    <w:basedOn w:val="a0"/>
    <w:rsid w:val="005D43AB"/>
  </w:style>
  <w:style w:type="character" w:styleId="ac">
    <w:name w:val="FollowedHyperlink"/>
    <w:basedOn w:val="a0"/>
    <w:uiPriority w:val="99"/>
    <w:semiHidden/>
    <w:unhideWhenUsed/>
    <w:rsid w:val="005D43A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1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21B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26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21E9-BA0A-4C68-89DD-7E94E6A0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2018-09-05T04:39:00Z</cp:lastPrinted>
  <dcterms:created xsi:type="dcterms:W3CDTF">2023-01-27T12:07:00Z</dcterms:created>
  <dcterms:modified xsi:type="dcterms:W3CDTF">2023-01-27T12:46:00Z</dcterms:modified>
</cp:coreProperties>
</file>