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79" w:rsidRPr="007B14AB" w:rsidRDefault="006F1479" w:rsidP="007813C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highlight w:val="cyan"/>
          <w:lang w:val="uk-UA"/>
        </w:rPr>
        <w:t>МСБО 7 «</w:t>
      </w:r>
      <w:r w:rsidR="007813CC"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ЗВІТ ПРО РУХ ГРОШОВИХ КОШТІВ</w:t>
      </w:r>
      <w:r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3E50DC" w:rsidRPr="007B14AB" w:rsidRDefault="003E50DC" w:rsidP="003E50D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>Рух грошових коштів - надходження і вибуття</w:t>
      </w:r>
    </w:p>
    <w:p w:rsidR="003E50DC" w:rsidRPr="007B14AB" w:rsidRDefault="003E50DC" w:rsidP="003E50D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грошей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та </w:t>
      </w: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їхніх еквівалентів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2F6E58" w:rsidRPr="007B14AB" w:rsidRDefault="002F6E58" w:rsidP="00AD2C5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202124"/>
          <w:sz w:val="36"/>
          <w:szCs w:val="36"/>
          <w:highlight w:val="green"/>
          <w:shd w:val="clear" w:color="auto" w:fill="FFFFFF"/>
          <w:lang w:val="uk-UA"/>
        </w:rPr>
      </w:pPr>
    </w:p>
    <w:p w:rsidR="003E50DC" w:rsidRPr="007B14AB" w:rsidRDefault="003E50DC" w:rsidP="00AD2C59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202124"/>
          <w:sz w:val="36"/>
          <w:szCs w:val="36"/>
          <w:shd w:val="clear" w:color="auto" w:fill="FFFFFF"/>
          <w:lang w:val="uk-UA"/>
        </w:rPr>
      </w:pPr>
      <w:r w:rsidRPr="007B14AB">
        <w:rPr>
          <w:rFonts w:ascii="Times New Roman" w:hAnsi="Times New Roman" w:cs="Times New Roman"/>
          <w:b/>
          <w:bCs/>
          <w:i/>
          <w:iCs/>
          <w:color w:val="202124"/>
          <w:sz w:val="36"/>
          <w:szCs w:val="36"/>
          <w:highlight w:val="green"/>
          <w:shd w:val="clear" w:color="auto" w:fill="FFFFFF"/>
          <w:lang w:val="uk-UA"/>
        </w:rPr>
        <w:t>Еквіваленти грошових коштів</w:t>
      </w:r>
      <w:r w:rsidRPr="007B14AB"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  <w:lang w:val="uk-UA"/>
        </w:rPr>
        <w:t xml:space="preserve"> - </w:t>
      </w:r>
      <w:r w:rsidRPr="007B14AB">
        <w:rPr>
          <w:rFonts w:ascii="Times New Roman" w:hAnsi="Times New Roman" w:cs="Times New Roman"/>
          <w:bCs/>
          <w:color w:val="202124"/>
          <w:sz w:val="36"/>
          <w:szCs w:val="36"/>
          <w:shd w:val="clear" w:color="auto" w:fill="FFFFFF"/>
          <w:lang w:val="uk-UA"/>
        </w:rPr>
        <w:t>це короткострокові, високоліквідні інвестиції, які вільно конвертуються у відомі суми грошових коштів і яким притаманний</w:t>
      </w:r>
      <w:r w:rsidR="003F641C" w:rsidRPr="007B14AB">
        <w:rPr>
          <w:rFonts w:ascii="Times New Roman" w:hAnsi="Times New Roman" w:cs="Times New Roman"/>
          <w:bCs/>
          <w:color w:val="202124"/>
          <w:sz w:val="36"/>
          <w:szCs w:val="36"/>
          <w:shd w:val="clear" w:color="auto" w:fill="FFFFFF"/>
          <w:lang w:val="uk-UA"/>
        </w:rPr>
        <w:t xml:space="preserve"> незначний ризик зміни вартості – </w:t>
      </w:r>
      <w:r w:rsidR="003F641C" w:rsidRPr="007B14AB">
        <w:rPr>
          <w:rFonts w:ascii="Times New Roman" w:hAnsi="Times New Roman" w:cs="Times New Roman"/>
          <w:bCs/>
          <w:color w:val="202124"/>
          <w:sz w:val="36"/>
          <w:szCs w:val="36"/>
          <w:highlight w:val="green"/>
          <w:shd w:val="clear" w:color="auto" w:fill="FFFFFF"/>
          <w:lang w:val="uk-UA"/>
        </w:rPr>
        <w:t>ВИСОКОЛІКВІДНІ ВКЛАДЕННЯ</w:t>
      </w:r>
      <w:r w:rsidR="003F641C" w:rsidRPr="007B14AB">
        <w:rPr>
          <w:rFonts w:ascii="Times New Roman" w:hAnsi="Times New Roman" w:cs="Times New Roman"/>
          <w:bCs/>
          <w:color w:val="202124"/>
          <w:sz w:val="36"/>
          <w:szCs w:val="36"/>
          <w:shd w:val="clear" w:color="auto" w:fill="FFFFFF"/>
          <w:lang w:val="uk-UA"/>
        </w:rPr>
        <w:t>.</w:t>
      </w:r>
    </w:p>
    <w:p w:rsidR="003E50DC" w:rsidRPr="007B14AB" w:rsidRDefault="003E50DC" w:rsidP="003F641C">
      <w:pPr>
        <w:spacing w:line="240" w:lineRule="auto"/>
        <w:ind w:firstLine="708"/>
        <w:jc w:val="both"/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</w:pPr>
      <w:r w:rsidRPr="007B14AB">
        <w:rPr>
          <w:rFonts w:ascii="Times New Roman" w:hAnsi="Times New Roman" w:cs="Times New Roman"/>
          <w:b/>
          <w:bCs/>
          <w:i/>
          <w:color w:val="202124"/>
          <w:sz w:val="36"/>
          <w:szCs w:val="36"/>
          <w:highlight w:val="green"/>
          <w:shd w:val="clear" w:color="auto" w:fill="FFFFFF"/>
          <w:lang w:val="uk-UA"/>
        </w:rPr>
        <w:t>Прикладом еквівалентів грошових коштів</w:t>
      </w:r>
      <w:r w:rsidRPr="007B14A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  <w:t> можуть бути:</w:t>
      </w:r>
    </w:p>
    <w:p w:rsidR="003E50DC" w:rsidRPr="007B14AB" w:rsidRDefault="003E50DC" w:rsidP="003F641C">
      <w:pPr>
        <w:spacing w:line="240" w:lineRule="auto"/>
        <w:ind w:firstLine="708"/>
        <w:jc w:val="both"/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</w:pPr>
      <w:r w:rsidRPr="007B14A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  <w:t>- високоліквідні цінні папери, як депозитні сертифікати, облігації, акції та інші;</w:t>
      </w:r>
    </w:p>
    <w:p w:rsidR="003E50DC" w:rsidRPr="007B14AB" w:rsidRDefault="003E50DC" w:rsidP="003F641C">
      <w:pPr>
        <w:spacing w:line="240" w:lineRule="auto"/>
        <w:ind w:firstLine="708"/>
        <w:jc w:val="both"/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</w:pPr>
      <w:r w:rsidRPr="007B14A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  <w:t xml:space="preserve">- короткострокові депозити або депозити </w:t>
      </w:r>
      <w:r w:rsidR="003F641C" w:rsidRPr="007B14A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  <w:t xml:space="preserve">до </w:t>
      </w:r>
      <w:r w:rsidRPr="007B14A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  <w:t>запитання</w:t>
      </w:r>
      <w:r w:rsidR="003F641C" w:rsidRPr="007B14A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  <w:t>;</w:t>
      </w:r>
    </w:p>
    <w:p w:rsidR="003F641C" w:rsidRPr="007B14AB" w:rsidRDefault="003F641C" w:rsidP="003F641C">
      <w:pPr>
        <w:spacing w:line="240" w:lineRule="auto"/>
        <w:ind w:firstLine="708"/>
        <w:jc w:val="both"/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</w:pPr>
      <w:r w:rsidRPr="007B14AB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  <w:lang w:val="uk-UA"/>
        </w:rPr>
        <w:t>- короткострокові векселя.</w:t>
      </w:r>
    </w:p>
    <w:p w:rsidR="00AD2C59" w:rsidRPr="007B14AB" w:rsidRDefault="00AD2C59" w:rsidP="00AD2C59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iCs/>
          <w:sz w:val="36"/>
          <w:szCs w:val="36"/>
          <w:highlight w:val="cyan"/>
          <w:lang w:val="uk-UA"/>
        </w:rPr>
        <w:t xml:space="preserve">Відповідно до МСФЗ 7 «Звіт про рух грошових коштів» </w:t>
      </w: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Звіт про рух грошових коштів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це звіт, який відображає надходження </w:t>
      </w:r>
      <w:r w:rsidR="000B0890" w:rsidRPr="007B14AB">
        <w:rPr>
          <w:rFonts w:ascii="Times New Roman" w:hAnsi="Times New Roman" w:cs="Times New Roman"/>
          <w:sz w:val="36"/>
          <w:szCs w:val="36"/>
          <w:lang w:val="uk-UA"/>
        </w:rPr>
        <w:t>та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вибуття грошових коштів протягом звітного періоду в результаті операційної, інвестиційної та фінансової діяльності.</w:t>
      </w:r>
    </w:p>
    <w:p w:rsidR="00AD2C59" w:rsidRPr="007B14AB" w:rsidRDefault="00AD2C59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Метою складання звіту про рух грошових коштів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є надання користувачам фінансової звітності повної, правдивої та неупередженої інформації про </w:t>
      </w:r>
      <w:r w:rsidR="003F641C"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історичні 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>зміни, що відбулися у грошових коштах підприємства та їх</w:t>
      </w:r>
      <w:r w:rsidR="003F641C"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еквівалентах за звітний період в розрізі трьох видів діяльності. </w:t>
      </w:r>
    </w:p>
    <w:p w:rsidR="00701C28" w:rsidRPr="007B14AB" w:rsidRDefault="002F6E58" w:rsidP="002F6E58">
      <w:pPr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red"/>
          <w:lang w:val="uk-UA"/>
        </w:rPr>
        <w:lastRenderedPageBreak/>
        <w:t xml:space="preserve">УВАГА!!! 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Грошові кошти та їх еквіваленти, які </w:t>
      </w: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обмежені у використанні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, повинні бути розкриті в </w:t>
      </w: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Примітках до фінансової звітності</w:t>
      </w:r>
      <w:r w:rsidR="00701C28"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2F6E58" w:rsidRPr="007B14AB" w:rsidRDefault="00701C28" w:rsidP="002F6E58">
      <w:pPr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Приклад: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Підприємство в якості застави надало банку  </w:t>
      </w:r>
      <w:r w:rsidR="002F6E58"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           1 000 тис. у.о. у вигляді грошових коштів. </w:t>
      </w:r>
    </w:p>
    <w:p w:rsidR="00701C28" w:rsidRPr="007B14AB" w:rsidRDefault="00701C28" w:rsidP="00AD2C59">
      <w:pPr>
        <w:jc w:val="center"/>
        <w:rPr>
          <w:rFonts w:ascii="Times New Roman" w:hAnsi="Times New Roman" w:cs="Times New Roman"/>
          <w:sz w:val="36"/>
          <w:szCs w:val="36"/>
          <w:highlight w:val="cyan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Визначення, мет</w:t>
      </w:r>
      <w:r w:rsidR="007301AA"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а</w:t>
      </w: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 xml:space="preserve"> та структур</w:t>
      </w:r>
      <w:r w:rsidR="007301AA"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а</w:t>
      </w: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 xml:space="preserve"> Звіту </w:t>
      </w:r>
      <w:r w:rsidR="007301AA"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про рух грошових коштів</w:t>
      </w: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943600" cy="3627755"/>
                <wp:effectExtent l="9525" t="6350" r="9525" b="23495"/>
                <wp:wrapNone/>
                <wp:docPr id="18" name="Групувати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627755"/>
                          <a:chOff x="1701" y="3282"/>
                          <a:chExt cx="9360" cy="5713"/>
                        </a:xfrm>
                      </wpg:grpSpPr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3381"/>
                            <a:ext cx="3240" cy="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14AB" w:rsidRPr="00DA0AE2" w:rsidRDefault="007B14AB" w:rsidP="00AD2C59">
                              <w:pPr>
                                <w:spacing w:line="216" w:lineRule="auto"/>
                                <w:ind w:right="-13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DA0AE2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6"/>
                                  <w:szCs w:val="26"/>
                                  <w:lang w:val="uk-UA"/>
                                </w:rPr>
                                <w:t>Визначення Звіту про рух грошових коштів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3282"/>
                            <a:ext cx="5580" cy="1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14AB" w:rsidRPr="00DA0AE2" w:rsidRDefault="007B14AB" w:rsidP="00AD2C59">
                              <w:pPr>
                                <w:spacing w:line="216" w:lineRule="auto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DA0AE2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uk-UA"/>
                                </w:rPr>
                                <w:t>Звіт, який відображає надходження і вибуття грошових коштів протягом звітного періоду в результаті операційної, інвестиційної та фінансової діяльності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4730"/>
                            <a:ext cx="2160" cy="1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14AB" w:rsidRPr="00DA0AE2" w:rsidRDefault="007B14AB" w:rsidP="00AD2C59">
                              <w:pPr>
                                <w:spacing w:line="21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DA0AE2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6"/>
                                  <w:szCs w:val="26"/>
                                  <w:lang w:val="uk-UA"/>
                                </w:rPr>
                                <w:t>Мета складання Звіту про рух грошових коштів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4810"/>
                            <a:ext cx="6660" cy="1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14AB" w:rsidRPr="00DA0AE2" w:rsidRDefault="007B14AB" w:rsidP="00AD2C59">
                              <w:pPr>
                                <w:spacing w:line="216" w:lineRule="auto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DA0AE2"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6"/>
                                  <w:szCs w:val="26"/>
                                  <w:lang w:val="uk-UA" w:eastAsia="ru-RU"/>
                                </w:rPr>
                                <w:t xml:space="preserve">Надання користувачам фінансової звітності повної, правдивої та неупередженої інформації про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6"/>
                                  <w:szCs w:val="26"/>
                                  <w:lang w:val="uk-UA" w:eastAsia="ru-RU"/>
                                </w:rPr>
                                <w:t xml:space="preserve">історичні </w:t>
                              </w:r>
                              <w:r w:rsidRPr="00DA0AE2"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6"/>
                                  <w:szCs w:val="26"/>
                                  <w:lang w:val="uk-UA" w:eastAsia="ru-RU"/>
                                </w:rPr>
                                <w:t>зміни, що відбулися у грошових коштах підприємства та їх еквівалентах за звітний період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6698"/>
                            <a:ext cx="9360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14AB" w:rsidRPr="00DA0AE2" w:rsidRDefault="007B14AB" w:rsidP="00AD2C59">
                              <w:pPr>
                                <w:spacing w:line="21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DA0AE2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lang w:val="uk-UA"/>
                                </w:rPr>
                                <w:t xml:space="preserve">Структура </w:t>
                              </w:r>
                              <w:r w:rsidRPr="00DA0AE2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6"/>
                                  <w:szCs w:val="26"/>
                                  <w:lang w:val="uk-UA"/>
                                </w:rPr>
                                <w:t>Звіту про рух грошових коштів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7339"/>
                            <a:ext cx="8219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14AB" w:rsidRPr="00DA0AE2" w:rsidRDefault="007B14AB" w:rsidP="00AD2C59">
                              <w:pPr>
                                <w:spacing w:line="21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shd w:val="clear" w:color="auto" w:fill="FFFFFF"/>
                                  <w:lang w:val="uk-UA"/>
                                </w:rPr>
                              </w:pPr>
                              <w:r w:rsidRPr="00DA0AE2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00"/>
                                  <w:sz w:val="26"/>
                                  <w:szCs w:val="26"/>
                                  <w:bdr w:val="none" w:sz="0" w:space="0" w:color="auto" w:frame="1"/>
                                  <w:lang w:val="uk-UA" w:eastAsia="ru-RU"/>
                                </w:rPr>
                                <w:t>І. Рух коштів у результаті операційної діяльності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7891"/>
                            <a:ext cx="821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14AB" w:rsidRPr="00DA0AE2" w:rsidRDefault="007B14AB" w:rsidP="00AD2C59">
                              <w:pPr>
                                <w:spacing w:line="21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DA0AE2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00"/>
                                  <w:sz w:val="26"/>
                                  <w:szCs w:val="26"/>
                                  <w:bdr w:val="none" w:sz="0" w:space="0" w:color="auto" w:frame="1"/>
                                  <w:lang w:val="uk-UA" w:eastAsia="ru-RU"/>
                                </w:rPr>
                                <w:t>II. Рух коштів у результаті інвестиційної діяльності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421" y="4208"/>
                            <a:ext cx="720" cy="52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3861" y="5016"/>
                            <a:ext cx="540" cy="66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4941" y="3479"/>
                            <a:ext cx="540" cy="66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2421" y="6176"/>
                            <a:ext cx="720" cy="52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8505"/>
                            <a:ext cx="8219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14AB" w:rsidRPr="00DA0AE2" w:rsidRDefault="007B14AB" w:rsidP="00AD2C59">
                              <w:pPr>
                                <w:spacing w:line="21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bdr w:val="none" w:sz="0" w:space="0" w:color="auto" w:frame="1"/>
                                  <w:lang w:val="uk-UA"/>
                                </w:rPr>
                              </w:pPr>
                              <w:r w:rsidRPr="00DA0AE2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00"/>
                                  <w:sz w:val="26"/>
                                  <w:szCs w:val="26"/>
                                  <w:bdr w:val="none" w:sz="0" w:space="0" w:color="auto" w:frame="1"/>
                                  <w:lang w:val="uk-UA" w:eastAsia="ru-RU"/>
                                </w:rPr>
                                <w:t>III. Рух коштів у результаті фінансової діяльності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01" y="7165"/>
                            <a:ext cx="0" cy="16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701" y="8473"/>
                            <a:ext cx="961" cy="522"/>
                          </a:xfrm>
                          <a:prstGeom prst="rightArrow">
                            <a:avLst>
                              <a:gd name="adj1" fmla="val 50000"/>
                              <a:gd name="adj2" fmla="val 4602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701" y="7891"/>
                            <a:ext cx="961" cy="523"/>
                          </a:xfrm>
                          <a:prstGeom prst="rightArrow">
                            <a:avLst>
                              <a:gd name="adj1" fmla="val 50000"/>
                              <a:gd name="adj2" fmla="val 4593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701" y="7274"/>
                            <a:ext cx="961" cy="522"/>
                          </a:xfrm>
                          <a:prstGeom prst="rightArrow">
                            <a:avLst>
                              <a:gd name="adj1" fmla="val 50000"/>
                              <a:gd name="adj2" fmla="val 4602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8" o:spid="_x0000_s1026" style="position:absolute;left:0;text-align:left;margin-left:0;margin-top:2.75pt;width:468pt;height:285.65pt;z-index:251659264" coordorigin="1701,3282" coordsize="9360,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1701;top:3381;width:3240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7B14AB" w:rsidRPr="00DA0AE2" w:rsidRDefault="007B14AB" w:rsidP="00AD2C59">
                        <w:pPr>
                          <w:spacing w:line="216" w:lineRule="auto"/>
                          <w:ind w:right="-13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  <w:lang w:val="uk-UA"/>
                          </w:rPr>
                        </w:pPr>
                        <w:r w:rsidRPr="00DA0AE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  <w:lang w:val="uk-UA"/>
                          </w:rPr>
                          <w:t>Визначення Звіту про рух грошових коштів</w:t>
                        </w:r>
                      </w:p>
                    </w:txbxContent>
                  </v:textbox>
                </v:shape>
                <v:shape id="Text Box 21" o:spid="_x0000_s1028" type="#_x0000_t202" style="position:absolute;left:5481;top:3282;width:5580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7B14AB" w:rsidRPr="00DA0AE2" w:rsidRDefault="007B14AB" w:rsidP="00AD2C59">
                        <w:pPr>
                          <w:spacing w:line="216" w:lineRule="auto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uk-UA"/>
                          </w:rPr>
                        </w:pPr>
                        <w:r w:rsidRPr="00DA0AE2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uk-UA"/>
                          </w:rPr>
                          <w:t>Звіт, який відображає надходження і вибуття грошових коштів протягом звітного періоду в результаті операційної, інвестиційної та фінансової діяльності</w:t>
                        </w:r>
                      </w:p>
                    </w:txbxContent>
                  </v:textbox>
                </v:shape>
                <v:shape id="Text Box 22" o:spid="_x0000_s1029" type="#_x0000_t202" style="position:absolute;left:1701;top:4730;width:2160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7B14AB" w:rsidRPr="00DA0AE2" w:rsidRDefault="007B14AB" w:rsidP="00AD2C59">
                        <w:pPr>
                          <w:spacing w:line="21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uk-UA"/>
                          </w:rPr>
                        </w:pPr>
                        <w:r w:rsidRPr="00DA0AE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  <w:lang w:val="uk-UA"/>
                          </w:rPr>
                          <w:t>Мета складання Звіту про рух грошових коштів</w:t>
                        </w:r>
                      </w:p>
                    </w:txbxContent>
                  </v:textbox>
                </v:shape>
                <v:shape id="Text Box 23" o:spid="_x0000_s1030" type="#_x0000_t202" style="position:absolute;left:4401;top:4810;width:6660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7B14AB" w:rsidRPr="00DA0AE2" w:rsidRDefault="007B14AB" w:rsidP="00AD2C59">
                        <w:pPr>
                          <w:spacing w:line="216" w:lineRule="auto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uk-UA"/>
                          </w:rPr>
                        </w:pPr>
                        <w:r w:rsidRPr="00DA0AE2">
                          <w:rPr>
                            <w:rFonts w:ascii="Times New Roman" w:eastAsia="Times New Roman" w:hAnsi="Times New Roman" w:cs="Times New Roman"/>
                            <w:iCs/>
                            <w:sz w:val="26"/>
                            <w:szCs w:val="26"/>
                            <w:lang w:val="uk-UA" w:eastAsia="ru-RU"/>
                          </w:rPr>
                          <w:t xml:space="preserve">Надання користувачам фінансової звітності повної, правдивої та неупередженої інформації про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iCs/>
                            <w:sz w:val="26"/>
                            <w:szCs w:val="26"/>
                            <w:lang w:val="uk-UA" w:eastAsia="ru-RU"/>
                          </w:rPr>
                          <w:t xml:space="preserve">історичні </w:t>
                        </w:r>
                        <w:r w:rsidRPr="00DA0AE2">
                          <w:rPr>
                            <w:rFonts w:ascii="Times New Roman" w:eastAsia="Times New Roman" w:hAnsi="Times New Roman" w:cs="Times New Roman"/>
                            <w:iCs/>
                            <w:sz w:val="26"/>
                            <w:szCs w:val="26"/>
                            <w:lang w:val="uk-UA" w:eastAsia="ru-RU"/>
                          </w:rPr>
                          <w:t>зміни, що відбулися у грошових коштах підприємства та їх еквівалентах за звітний період</w:t>
                        </w:r>
                      </w:p>
                    </w:txbxContent>
                  </v:textbox>
                </v:shape>
                <v:shape id="Text Box 24" o:spid="_x0000_s1031" type="#_x0000_t202" style="position:absolute;left:1701;top:6698;width:936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7B14AB" w:rsidRPr="00DA0AE2" w:rsidRDefault="007B14AB" w:rsidP="00AD2C59">
                        <w:pPr>
                          <w:spacing w:line="21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uk-UA"/>
                          </w:rPr>
                        </w:pPr>
                        <w:r w:rsidRPr="00DA0AE2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uk-UA"/>
                          </w:rPr>
                          <w:t xml:space="preserve">Структура </w:t>
                        </w:r>
                        <w:r w:rsidRPr="00DA0AE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  <w:lang w:val="uk-UA"/>
                          </w:rPr>
                          <w:t>Звіту про рух грошових коштів</w:t>
                        </w:r>
                      </w:p>
                    </w:txbxContent>
                  </v:textbox>
                </v:shape>
                <v:shape id="Text Box 25" o:spid="_x0000_s1032" type="#_x0000_t202" style="position:absolute;left:2679;top:7339;width:821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7B14AB" w:rsidRPr="00DA0AE2" w:rsidRDefault="007B14AB" w:rsidP="00AD2C59">
                        <w:pPr>
                          <w:spacing w:line="216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shd w:val="clear" w:color="auto" w:fill="FFFFFF"/>
                            <w:lang w:val="uk-UA"/>
                          </w:rPr>
                        </w:pPr>
                        <w:r w:rsidRPr="00DA0AE2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6"/>
                            <w:szCs w:val="26"/>
                            <w:bdr w:val="none" w:sz="0" w:space="0" w:color="auto" w:frame="1"/>
                            <w:lang w:val="uk-UA" w:eastAsia="ru-RU"/>
                          </w:rPr>
                          <w:t>І. Рух коштів у результаті операційної діяльності</w:t>
                        </w:r>
                      </w:p>
                    </w:txbxContent>
                  </v:textbox>
                </v:shape>
                <v:shape id="Text Box 26" o:spid="_x0000_s1033" type="#_x0000_t202" style="position:absolute;left:2679;top:7891;width:821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7B14AB" w:rsidRPr="00DA0AE2" w:rsidRDefault="007B14AB" w:rsidP="00AD2C59">
                        <w:pPr>
                          <w:spacing w:line="216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uk-UA"/>
                          </w:rPr>
                        </w:pPr>
                        <w:r w:rsidRPr="00DA0AE2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6"/>
                            <w:szCs w:val="26"/>
                            <w:bdr w:val="none" w:sz="0" w:space="0" w:color="auto" w:frame="1"/>
                            <w:lang w:val="uk-UA" w:eastAsia="ru-RU"/>
                          </w:rPr>
                          <w:t>II. Рух коштів у результаті інвестиційної діяльності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7" o:spid="_x0000_s1034" type="#_x0000_t67" style="position:absolute;left:2421;top:4208;width:720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">
                  <v:textbox style="layout-flow:vertical-ideographic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8" o:spid="_x0000_s1035" type="#_x0000_t13" style="position:absolute;left:3861;top:5016;width:54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"/>
                <v:shape id="AutoShape 29" o:spid="_x0000_s1036" type="#_x0000_t13" style="position:absolute;left:4941;top:3479;width:54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"/>
                <v:shape id="AutoShape 30" o:spid="_x0000_s1037" type="#_x0000_t67" style="position:absolute;left:2421;top:6176;width:720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">
                  <v:textbox style="layout-flow:vertical-ideographic"/>
                </v:shape>
                <v:shape id="Text Box 31" o:spid="_x0000_s1038" type="#_x0000_t202" style="position:absolute;left:2679;top:8505;width:8219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7B14AB" w:rsidRPr="00DA0AE2" w:rsidRDefault="007B14AB" w:rsidP="00AD2C59">
                        <w:pPr>
                          <w:spacing w:line="216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bdr w:val="none" w:sz="0" w:space="0" w:color="auto" w:frame="1"/>
                            <w:lang w:val="uk-UA"/>
                          </w:rPr>
                        </w:pPr>
                        <w:r w:rsidRPr="00DA0AE2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6"/>
                            <w:szCs w:val="26"/>
                            <w:bdr w:val="none" w:sz="0" w:space="0" w:color="auto" w:frame="1"/>
                            <w:lang w:val="uk-UA" w:eastAsia="ru-RU"/>
                          </w:rPr>
                          <w:t>III. Рух коштів у результаті фінансової діяльності</w:t>
                        </w:r>
                      </w:p>
                    </w:txbxContent>
                  </v:textbox>
                </v:shape>
                <v:line id="Line 32" o:spid="_x0000_s1039" style="position:absolute;visibility:visible;mso-wrap-style:square" from="1701,7165" to="1701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shape id="AutoShape 33" o:spid="_x0000_s1040" type="#_x0000_t13" style="position:absolute;left:1701;top:8473;width:961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"/>
                <v:shape id="AutoShape 34" o:spid="_x0000_s1041" type="#_x0000_t13" style="position:absolute;left:1701;top:7891;width:96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"/>
                <v:shape id="AutoShape 35" o:spid="_x0000_s1042" type="#_x0000_t13" style="position:absolute;left:1701;top:7274;width:961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"/>
              </v:group>
            </w:pict>
          </mc:Fallback>
        </mc:AlternateContent>
      </w: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AD2C59" w:rsidRPr="007B14AB" w:rsidRDefault="00AD2C59" w:rsidP="00AD2C59">
      <w:pPr>
        <w:jc w:val="center"/>
        <w:rPr>
          <w:rFonts w:ascii="Times New Roman" w:hAnsi="Times New Roman" w:cs="Times New Roman"/>
          <w:iCs/>
          <w:sz w:val="36"/>
          <w:szCs w:val="36"/>
          <w:lang w:val="uk-UA"/>
        </w:rPr>
      </w:pPr>
    </w:p>
    <w:p w:rsidR="007301AA" w:rsidRPr="007B14AB" w:rsidRDefault="007301AA" w:rsidP="007301AA">
      <w:pPr>
        <w:rPr>
          <w:rFonts w:ascii="Times New Roman" w:hAnsi="Times New Roman" w:cs="Times New Roman"/>
          <w:sz w:val="36"/>
          <w:szCs w:val="36"/>
          <w:highlight w:val="green"/>
          <w:lang w:val="uk-UA"/>
        </w:rPr>
      </w:pPr>
    </w:p>
    <w:p w:rsidR="007301AA" w:rsidRPr="007B14AB" w:rsidRDefault="007301AA" w:rsidP="007301AA">
      <w:pPr>
        <w:ind w:firstLine="708"/>
        <w:jc w:val="both"/>
        <w:rPr>
          <w:rFonts w:ascii="Times New Roman" w:hAnsi="Times New Roman" w:cs="Times New Roman"/>
          <w:sz w:val="36"/>
          <w:szCs w:val="36"/>
          <w:highlight w:val="green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В ЧОМУ КОРИСТЬ  Звіту про рух грошових коштів для користувачів???</w:t>
      </w:r>
    </w:p>
    <w:p w:rsidR="00AD2C59" w:rsidRPr="007B14AB" w:rsidRDefault="007301AA" w:rsidP="007301AA">
      <w:pPr>
        <w:ind w:firstLine="708"/>
        <w:jc w:val="both"/>
        <w:rPr>
          <w:rFonts w:ascii="Times New Roman" w:hAnsi="Times New Roman" w:cs="Times New Roman"/>
          <w:iCs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По-перше, Звіт про рух грошових коштів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надає користувачам фінансової звітності основу для оцінки фактичних грошових потоків та для складання прогнозу майбутніх грошових потоків. </w:t>
      </w:r>
    </w:p>
    <w:p w:rsidR="00AD2C59" w:rsidRPr="007B14AB" w:rsidRDefault="007301AA" w:rsidP="007301AA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ab/>
      </w: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По-друге, Звіт про рух грошових коштів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дозволяє оцінити, який з видів діяльності приносить підприємству найбільшу користь щодо отримання грошових коштів. </w:t>
      </w:r>
    </w:p>
    <w:p w:rsidR="007301AA" w:rsidRPr="007B14AB" w:rsidRDefault="007301AA" w:rsidP="007301AA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ЗАГАЛЬНИЙ ПІДХІД ЩОДО СКЛАДАННЯ ЗВІТУ ПРО РУХ ГРОШОВИХ КОШТІВ 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6941"/>
        <w:gridCol w:w="3402"/>
      </w:tblGrid>
      <w:tr w:rsidR="007301AA" w:rsidRPr="007B14AB" w:rsidTr="00B67E0D">
        <w:tc>
          <w:tcPr>
            <w:tcW w:w="6941" w:type="dxa"/>
          </w:tcPr>
          <w:p w:rsidR="007301AA" w:rsidRPr="007B14AB" w:rsidRDefault="007301AA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Стаття</w:t>
            </w:r>
          </w:p>
        </w:tc>
        <w:tc>
          <w:tcPr>
            <w:tcW w:w="3402" w:type="dxa"/>
          </w:tcPr>
          <w:p w:rsidR="007301AA" w:rsidRPr="007B14AB" w:rsidRDefault="007301AA" w:rsidP="003B2BA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Показник</w:t>
            </w:r>
            <w:r w:rsidR="00B67E0D"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 тис. у.о.</w:t>
            </w: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</w:tc>
      </w:tr>
      <w:tr w:rsidR="007301AA" w:rsidRPr="007B14AB" w:rsidTr="00B67E0D">
        <w:tc>
          <w:tcPr>
            <w:tcW w:w="6941" w:type="dxa"/>
          </w:tcPr>
          <w:p w:rsidR="007301AA" w:rsidRPr="007B14AB" w:rsidRDefault="00B67E0D" w:rsidP="00B67E0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Чистий рух грошових коштів від </w:t>
            </w:r>
            <w:r w:rsidRPr="007B14AB">
              <w:rPr>
                <w:rFonts w:ascii="Times New Roman" w:hAnsi="Times New Roman" w:cs="Times New Roman"/>
                <w:sz w:val="36"/>
                <w:szCs w:val="36"/>
                <w:highlight w:val="green"/>
                <w:lang w:val="uk-UA"/>
              </w:rPr>
              <w:t>операційної діяльності</w:t>
            </w:r>
          </w:p>
        </w:tc>
        <w:tc>
          <w:tcPr>
            <w:tcW w:w="3402" w:type="dxa"/>
          </w:tcPr>
          <w:p w:rsidR="007301AA" w:rsidRPr="007B14AB" w:rsidRDefault="00B67E0D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8 100</w:t>
            </w:r>
          </w:p>
        </w:tc>
      </w:tr>
      <w:tr w:rsidR="00B67E0D" w:rsidRPr="007B14AB" w:rsidTr="00B67E0D">
        <w:tc>
          <w:tcPr>
            <w:tcW w:w="6941" w:type="dxa"/>
          </w:tcPr>
          <w:p w:rsidR="00B67E0D" w:rsidRPr="007B14AB" w:rsidRDefault="00B67E0D" w:rsidP="00B67E0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Чистий рух грошових коштів від </w:t>
            </w:r>
            <w:r w:rsidRPr="007B14AB">
              <w:rPr>
                <w:rFonts w:ascii="Times New Roman" w:hAnsi="Times New Roman" w:cs="Times New Roman"/>
                <w:sz w:val="36"/>
                <w:szCs w:val="36"/>
                <w:highlight w:val="yellow"/>
                <w:lang w:val="uk-UA"/>
              </w:rPr>
              <w:t>інвестиційної  діяльності</w:t>
            </w:r>
          </w:p>
        </w:tc>
        <w:tc>
          <w:tcPr>
            <w:tcW w:w="3402" w:type="dxa"/>
          </w:tcPr>
          <w:p w:rsidR="00B67E0D" w:rsidRPr="007B14AB" w:rsidRDefault="00B67E0D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(2 200)</w:t>
            </w:r>
          </w:p>
        </w:tc>
      </w:tr>
      <w:tr w:rsidR="00B67E0D" w:rsidRPr="007B14AB" w:rsidTr="00B67E0D">
        <w:tc>
          <w:tcPr>
            <w:tcW w:w="6941" w:type="dxa"/>
          </w:tcPr>
          <w:p w:rsidR="00B67E0D" w:rsidRPr="007B14AB" w:rsidRDefault="00B67E0D" w:rsidP="00B67E0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Чистий рух грошових коштів від </w:t>
            </w:r>
          </w:p>
          <w:p w:rsidR="00B67E0D" w:rsidRPr="007B14AB" w:rsidRDefault="00B67E0D" w:rsidP="00B67E0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highlight w:val="cyan"/>
                <w:lang w:val="uk-UA"/>
              </w:rPr>
              <w:t>фінансової   діяльності</w:t>
            </w:r>
          </w:p>
        </w:tc>
        <w:tc>
          <w:tcPr>
            <w:tcW w:w="3402" w:type="dxa"/>
          </w:tcPr>
          <w:p w:rsidR="00B67E0D" w:rsidRPr="007B14AB" w:rsidRDefault="00B67E0D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(1 800)</w:t>
            </w:r>
          </w:p>
        </w:tc>
      </w:tr>
      <w:tr w:rsidR="00B67E0D" w:rsidRPr="007B14AB" w:rsidTr="00B67E0D">
        <w:tc>
          <w:tcPr>
            <w:tcW w:w="6941" w:type="dxa"/>
          </w:tcPr>
          <w:p w:rsidR="00B67E0D" w:rsidRPr="007B14AB" w:rsidRDefault="00B67E0D" w:rsidP="00B67E0D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Чистий рух грошових коштів за звітний період</w:t>
            </w:r>
          </w:p>
        </w:tc>
        <w:tc>
          <w:tcPr>
            <w:tcW w:w="3402" w:type="dxa"/>
          </w:tcPr>
          <w:p w:rsidR="00B67E0D" w:rsidRPr="007B14AB" w:rsidRDefault="00B67E0D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8 100 – 2 200 – 1 800 = 4 100</w:t>
            </w:r>
          </w:p>
        </w:tc>
      </w:tr>
      <w:tr w:rsidR="00B67E0D" w:rsidRPr="007B14AB" w:rsidTr="00B67E0D">
        <w:tc>
          <w:tcPr>
            <w:tcW w:w="6941" w:type="dxa"/>
          </w:tcPr>
          <w:p w:rsidR="00B67E0D" w:rsidRPr="007B14AB" w:rsidRDefault="00B67E0D" w:rsidP="00B67E0D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 xml:space="preserve">Грошові кошти та їх еквіваленти на початок періоду </w:t>
            </w:r>
          </w:p>
        </w:tc>
        <w:tc>
          <w:tcPr>
            <w:tcW w:w="3402" w:type="dxa"/>
          </w:tcPr>
          <w:p w:rsidR="00B67E0D" w:rsidRPr="007B14AB" w:rsidRDefault="003B2BA4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8 000</w:t>
            </w:r>
          </w:p>
        </w:tc>
      </w:tr>
      <w:tr w:rsidR="003B2BA4" w:rsidRPr="007B14AB" w:rsidTr="00B67E0D">
        <w:tc>
          <w:tcPr>
            <w:tcW w:w="6941" w:type="dxa"/>
          </w:tcPr>
          <w:p w:rsidR="003B2BA4" w:rsidRPr="007B14AB" w:rsidRDefault="003B2BA4" w:rsidP="003B2BA4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Вплив змін валютних курсів на грошові кошти та їх еквіваленти </w:t>
            </w:r>
          </w:p>
        </w:tc>
        <w:tc>
          <w:tcPr>
            <w:tcW w:w="3402" w:type="dxa"/>
          </w:tcPr>
          <w:p w:rsidR="003B2BA4" w:rsidRPr="007B14AB" w:rsidRDefault="003B2BA4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(600)</w:t>
            </w:r>
          </w:p>
        </w:tc>
      </w:tr>
      <w:tr w:rsidR="003B2BA4" w:rsidRPr="007B14AB" w:rsidTr="00B67E0D">
        <w:tc>
          <w:tcPr>
            <w:tcW w:w="6941" w:type="dxa"/>
          </w:tcPr>
          <w:p w:rsidR="003B2BA4" w:rsidRPr="007B14AB" w:rsidRDefault="003B2BA4" w:rsidP="003B2BA4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Грошові кошти та їх еквіваленти на кінець  періоду</w:t>
            </w:r>
          </w:p>
        </w:tc>
        <w:tc>
          <w:tcPr>
            <w:tcW w:w="3402" w:type="dxa"/>
          </w:tcPr>
          <w:p w:rsidR="003B2BA4" w:rsidRPr="007B14AB" w:rsidRDefault="003B2BA4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</w:t>
            </w:r>
            <w:r w:rsidR="000B0890"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 </w:t>
            </w: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500</w:t>
            </w:r>
          </w:p>
          <w:p w:rsidR="000B0890" w:rsidRPr="007B14AB" w:rsidRDefault="000B0890" w:rsidP="00B67E0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(8 000+4100-600)</w:t>
            </w:r>
          </w:p>
        </w:tc>
      </w:tr>
    </w:tbl>
    <w:p w:rsidR="002F6E58" w:rsidRPr="007B14AB" w:rsidRDefault="002F6E58" w:rsidP="002F6E58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highlight w:val="red"/>
          <w:lang w:val="uk-UA"/>
        </w:rPr>
      </w:pPr>
    </w:p>
    <w:p w:rsidR="002F6E58" w:rsidRPr="007B14AB" w:rsidRDefault="000B0890" w:rsidP="002F6E58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red"/>
          <w:lang w:val="uk-UA"/>
        </w:rPr>
        <w:t>УВАГА!!!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При складанні Звіту про рух грошових коштів до руху коштів </w:t>
      </w:r>
      <w:r w:rsidRPr="007B14AB">
        <w:rPr>
          <w:rFonts w:ascii="Times New Roman" w:hAnsi="Times New Roman" w:cs="Times New Roman"/>
          <w:i/>
          <w:color w:val="FF0000"/>
          <w:sz w:val="36"/>
          <w:szCs w:val="36"/>
          <w:lang w:val="uk-UA"/>
        </w:rPr>
        <w:t>не відносять внутрішні зміни у складі грошових коштів</w:t>
      </w:r>
      <w:r w:rsidR="002F6E58" w:rsidRPr="007B14AB">
        <w:rPr>
          <w:rFonts w:ascii="Times New Roman" w:hAnsi="Times New Roman" w:cs="Times New Roman"/>
          <w:i/>
          <w:color w:val="FF0000"/>
          <w:sz w:val="36"/>
          <w:szCs w:val="36"/>
          <w:lang w:val="uk-UA"/>
        </w:rPr>
        <w:t xml:space="preserve"> та негрошові операції.</w:t>
      </w:r>
      <w:r w:rsidR="002F6E58" w:rsidRPr="007B14AB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</w:t>
      </w:r>
    </w:p>
    <w:p w:rsidR="002F6E58" w:rsidRPr="007B14AB" w:rsidRDefault="002F6E58" w:rsidP="002F6E58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Приклади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7301AA" w:rsidRPr="007B14AB" w:rsidRDefault="000B0890" w:rsidP="002F6E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>Гроші з поточного рахунку надійшли до каси</w:t>
      </w:r>
    </w:p>
    <w:p w:rsidR="002F6E58" w:rsidRPr="007B14AB" w:rsidRDefault="002F6E58" w:rsidP="002F6E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>Отримання активів на умовах фінансової оренди</w:t>
      </w:r>
    </w:p>
    <w:p w:rsidR="002F6E58" w:rsidRPr="007B14AB" w:rsidRDefault="002F6E58" w:rsidP="002F6E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>Бартерні операції</w:t>
      </w:r>
    </w:p>
    <w:p w:rsidR="002F6E58" w:rsidRPr="007B14AB" w:rsidRDefault="002F6E58" w:rsidP="002F6E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>Придбання активів шляхом емісії акцій</w:t>
      </w:r>
    </w:p>
    <w:p w:rsidR="002F6E58" w:rsidRPr="007B14AB" w:rsidRDefault="002F6E58" w:rsidP="002F6E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>Переведення зобов’язань у власний капітал</w:t>
      </w:r>
    </w:p>
    <w:p w:rsidR="002F6E58" w:rsidRPr="007B14AB" w:rsidRDefault="002F6E58" w:rsidP="002F6E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>Обмін власних акцій на акції іншого підприємства</w:t>
      </w:r>
    </w:p>
    <w:p w:rsidR="002F6E58" w:rsidRPr="007B14AB" w:rsidRDefault="002F6E58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b/>
          <w:bCs/>
          <w:i/>
          <w:iCs/>
          <w:color w:val="000000"/>
          <w:sz w:val="27"/>
          <w:szCs w:val="27"/>
          <w:lang w:val="uk-UA"/>
        </w:rPr>
        <w:lastRenderedPageBreak/>
        <w:t>Сума руху грошових коштів у результаті операційної діяльності є ключовим показником, який використовується для оцінки здатності підприємства генерувати грошові потоки, достатні для погашення позик, підтримки операційної потужності підприємства, виплати дивідендів та здійснення нових інвестицій без залучення зовнішніх джерел фінансування.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b/>
          <w:bCs/>
          <w:i/>
          <w:iCs/>
          <w:color w:val="000000"/>
          <w:sz w:val="27"/>
          <w:szCs w:val="27"/>
          <w:highlight w:val="cyan"/>
          <w:lang w:val="uk-UA"/>
        </w:rPr>
        <w:t>Приклади руху грошових коштів у результаті операційної діяльності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bookmarkStart w:id="0" w:name=""/>
      <w:bookmarkEnd w:id="0"/>
      <w:r w:rsidRPr="007B14AB">
        <w:rPr>
          <w:b/>
          <w:bCs/>
          <w:i/>
          <w:iCs/>
          <w:noProof/>
          <w:color w:val="000000"/>
          <w:sz w:val="27"/>
          <w:szCs w:val="27"/>
        </w:rPr>
        <w:drawing>
          <wp:inline distT="0" distB="0" distL="0" distR="0">
            <wp:extent cx="5905500" cy="4030980"/>
            <wp:effectExtent l="0" t="0" r="0" b="7620"/>
            <wp:docPr id="37" name="Рисунок 37" descr="https://web.posibnyky.vntu.edu.ua/fmib/16chalyuk_buhgalterskyj_oblik_2_chastyny/buhg_2/1432_src/1432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fmib/16chalyuk_buhgalterskyj_oblik_2_chastyny/buhg_2/1432_src/1432_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bookmarkStart w:id="1" w:name="ynvesticyjnadyyal_nyst_pydpriyemstv"/>
      <w:bookmarkEnd w:id="1"/>
      <w:r w:rsidRPr="007B14AB">
        <w:rPr>
          <w:b/>
          <w:bCs/>
          <w:i/>
          <w:iCs/>
          <w:color w:val="000000"/>
          <w:sz w:val="27"/>
          <w:szCs w:val="27"/>
          <w:lang w:val="uk-UA"/>
        </w:rPr>
        <w:t>Інвестиційна діяльність підприємства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rStyle w:val="style14"/>
          <w:color w:val="000000"/>
          <w:sz w:val="27"/>
          <w:szCs w:val="27"/>
          <w:lang w:val="uk-UA"/>
        </w:rPr>
        <w:t>Інвестиційна діяльність </w:t>
      </w:r>
      <w:r w:rsidRPr="007B14AB">
        <w:rPr>
          <w:rStyle w:val="style15"/>
          <w:color w:val="000000"/>
          <w:sz w:val="27"/>
          <w:szCs w:val="27"/>
          <w:lang w:val="uk-UA"/>
        </w:rPr>
        <w:t>– придбання та реалізація необоротних активів, а також тих фінансових інвестицій, які не є складовою частиною еквівалентів грошових коштів.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b/>
          <w:bCs/>
          <w:i/>
          <w:iCs/>
          <w:color w:val="000000"/>
          <w:sz w:val="27"/>
          <w:szCs w:val="27"/>
          <w:highlight w:val="cyan"/>
          <w:lang w:val="uk-UA"/>
        </w:rPr>
        <w:t>Приклади руху грошових коштів у результаті інвестиційної діяльності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b/>
          <w:bCs/>
          <w:i/>
          <w:iCs/>
          <w:noProof/>
          <w:color w:val="000000"/>
          <w:sz w:val="27"/>
          <w:szCs w:val="27"/>
        </w:rPr>
        <w:drawing>
          <wp:inline distT="0" distB="0" distL="0" distR="0">
            <wp:extent cx="5821680" cy="2103120"/>
            <wp:effectExtent l="0" t="0" r="7620" b="0"/>
            <wp:docPr id="36" name="Рисунок 36" descr="https://web.posibnyky.vntu.edu.ua/fmib/16chalyuk_buhgalterskyj_oblik_2_chastyny/buhg_2/1432_src/1432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posibnyky.vntu.edu.ua/fmib/16chalyuk_buhgalterskyj_oblik_2_chastyny/buhg_2/1432_src/1432_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b/>
          <w:bCs/>
          <w:i/>
          <w:iCs/>
          <w:color w:val="000000"/>
          <w:sz w:val="27"/>
          <w:szCs w:val="27"/>
          <w:lang w:val="uk-UA"/>
        </w:rPr>
        <w:t>Відокремлення операцій, що є результатом інвестиційної діяльності підприємства, є важливим, тому що інформація про такі операції показує, якою мірою підприємство витрачає грошові кошти на придбання активів, за рахунок використання яких в майбутньому отримуються доходи та грошові кошти.</w:t>
      </w:r>
    </w:p>
    <w:p w:rsidR="007B14AB" w:rsidRPr="007B14AB" w:rsidRDefault="007B14AB" w:rsidP="000B0890">
      <w:pPr>
        <w:pStyle w:val="style6"/>
        <w:shd w:val="clear" w:color="auto" w:fill="FFFFFF"/>
        <w:spacing w:before="0" w:beforeAutospacing="0" w:after="0" w:afterAutospacing="0"/>
        <w:ind w:firstLine="375"/>
        <w:jc w:val="both"/>
        <w:rPr>
          <w:rStyle w:val="style15"/>
          <w:i/>
          <w:iCs/>
          <w:color w:val="000000"/>
          <w:sz w:val="27"/>
          <w:szCs w:val="27"/>
          <w:lang w:val="uk-UA"/>
        </w:rPr>
      </w:pPr>
      <w:bookmarkStart w:id="2" w:name="fynansovadyyal_nyst_pydpriyemstva"/>
      <w:bookmarkEnd w:id="2"/>
    </w:p>
    <w:p w:rsidR="000B0890" w:rsidRPr="007B14AB" w:rsidRDefault="000B0890" w:rsidP="000B0890">
      <w:pPr>
        <w:pStyle w:val="style6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rStyle w:val="style15"/>
          <w:i/>
          <w:iCs/>
          <w:color w:val="000000"/>
          <w:sz w:val="27"/>
          <w:szCs w:val="27"/>
          <w:highlight w:val="cyan"/>
          <w:lang w:val="uk-UA"/>
        </w:rPr>
        <w:lastRenderedPageBreak/>
        <w:t>Фінансова діяльність підприємства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rStyle w:val="style14"/>
          <w:color w:val="000000"/>
          <w:sz w:val="27"/>
          <w:szCs w:val="27"/>
          <w:lang w:val="uk-UA"/>
        </w:rPr>
        <w:t>Фінансова діяльність – діяльність, яка приводить до змін розміру і складу власного та позикового капіталу підприємства.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b/>
          <w:bCs/>
          <w:i/>
          <w:iCs/>
          <w:color w:val="000000"/>
          <w:sz w:val="27"/>
          <w:szCs w:val="27"/>
          <w:lang w:val="uk-UA"/>
        </w:rPr>
        <w:t>Розкриття інформації про рух грошових коштів у результаті фінансової діяльності є важливим, оскільки воно надає інформацію щодо можливих вимог сплатити грошові кошти з боку тих, хто надає капітал підприємству.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b/>
          <w:bCs/>
          <w:i/>
          <w:iCs/>
          <w:color w:val="000000"/>
          <w:sz w:val="27"/>
          <w:szCs w:val="27"/>
          <w:lang w:val="uk-UA"/>
        </w:rPr>
        <w:t>Приклади руху грошових коштів у результаті фінансової діяльності</w:t>
      </w:r>
    </w:p>
    <w:p w:rsidR="000B0890" w:rsidRPr="007B14AB" w:rsidRDefault="000B0890" w:rsidP="000B0890">
      <w:pPr>
        <w:pStyle w:val="style2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i/>
          <w:iCs/>
          <w:color w:val="000000"/>
          <w:sz w:val="27"/>
          <w:szCs w:val="27"/>
          <w:lang w:val="uk-UA"/>
        </w:rPr>
      </w:pPr>
      <w:r w:rsidRPr="007B14AB">
        <w:rPr>
          <w:b/>
          <w:bCs/>
          <w:i/>
          <w:iCs/>
          <w:noProof/>
          <w:color w:val="000000"/>
          <w:sz w:val="27"/>
          <w:szCs w:val="27"/>
        </w:rPr>
        <w:drawing>
          <wp:inline distT="0" distB="0" distL="0" distR="0">
            <wp:extent cx="5806440" cy="2468880"/>
            <wp:effectExtent l="0" t="0" r="3810" b="7620"/>
            <wp:docPr id="35" name="Рисунок 35" descr="https://web.posibnyky.vntu.edu.ua/fmib/16chalyuk_buhgalterskyj_oblik_2_chastyny/buhg_2/1432_src/1432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posibnyky.vntu.edu.ua/fmib/16chalyuk_buhgalterskyj_oblik_2_chastyny/buhg_2/1432_src/1432_image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0B0890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B0890" w:rsidRPr="007B14AB" w:rsidRDefault="009874EC" w:rsidP="009874EC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lastRenderedPageBreak/>
        <w:t>МЕТОДИ СКЛАДАННЯ ЗВІТУ ПРО РУХ ГРОШОВИХ КОШТІВ</w:t>
      </w:r>
    </w:p>
    <w:p w:rsidR="009874EC" w:rsidRPr="007B14AB" w:rsidRDefault="00D3160F" w:rsidP="009874E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Відповідно до МСБО 7</w:t>
      </w:r>
      <w:r w:rsidR="009874EC"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«Звіт про рух грошових коштів» передбачено </w:t>
      </w:r>
      <w:r w:rsidR="009874EC"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два методи</w:t>
      </w:r>
      <w:r w:rsidR="009874EC"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щодо розкриття інформації про рух грошових коштів та їх еквівалентів </w:t>
      </w:r>
      <w:r w:rsidR="009874EC"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по операційній діяльності</w:t>
      </w:r>
      <w:r w:rsidR="009874EC"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, а саме: </w:t>
      </w:r>
      <w:r w:rsidR="009874EC" w:rsidRPr="007B14AB">
        <w:rPr>
          <w:rFonts w:ascii="Times New Roman" w:hAnsi="Times New Roman" w:cs="Times New Roman"/>
          <w:sz w:val="36"/>
          <w:szCs w:val="36"/>
          <w:highlight w:val="yellow"/>
          <w:lang w:val="uk-UA"/>
        </w:rPr>
        <w:t>від покупців, постачальникам, робітника, податки сплачені</w:t>
      </w:r>
      <w:r w:rsidR="009874EC"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9874EC" w:rsidRPr="007B14AB" w:rsidRDefault="009874EC" w:rsidP="009874E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ab/>
        <w:t>МЕТОДИ СКЛАДАННЯ:</w:t>
      </w:r>
    </w:p>
    <w:p w:rsidR="009874EC" w:rsidRPr="007B14AB" w:rsidRDefault="009874EC" w:rsidP="009874E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3" w:name="n61"/>
      <w:bookmarkEnd w:id="3"/>
      <w:r w:rsidRPr="007B14AB">
        <w:rPr>
          <w:rStyle w:val="rvts9"/>
          <w:b/>
          <w:bCs/>
          <w:color w:val="333333"/>
          <w:lang w:val="uk-UA"/>
        </w:rPr>
        <w:t xml:space="preserve">а) </w:t>
      </w:r>
      <w:r w:rsidRPr="007B14AB">
        <w:rPr>
          <w:rStyle w:val="rvts9"/>
          <w:b/>
          <w:bCs/>
          <w:color w:val="333333"/>
          <w:highlight w:val="cyan"/>
          <w:lang w:val="uk-UA"/>
        </w:rPr>
        <w:t>прямий метод</w:t>
      </w:r>
      <w:r w:rsidRPr="007B14AB">
        <w:rPr>
          <w:rStyle w:val="rvts9"/>
          <w:b/>
          <w:bCs/>
          <w:color w:val="333333"/>
          <w:lang w:val="uk-UA"/>
        </w:rPr>
        <w:t>, згідно з яким розкривається інформація про основні класи валових надходжень грошових коштів чи валових виплат грошових коштів,</w:t>
      </w:r>
    </w:p>
    <w:p w:rsidR="009874EC" w:rsidRPr="007B14AB" w:rsidRDefault="009874EC" w:rsidP="009874E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4" w:name="n62"/>
      <w:bookmarkEnd w:id="4"/>
      <w:r w:rsidRPr="007B14AB">
        <w:rPr>
          <w:rStyle w:val="rvts9"/>
          <w:b/>
          <w:bCs/>
          <w:color w:val="333333"/>
          <w:lang w:val="uk-UA"/>
        </w:rPr>
        <w:t>або</w:t>
      </w:r>
    </w:p>
    <w:p w:rsidR="009874EC" w:rsidRPr="007B14AB" w:rsidRDefault="009874EC" w:rsidP="009874E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5" w:name="n63"/>
      <w:bookmarkEnd w:id="5"/>
      <w:r w:rsidRPr="007B14AB">
        <w:rPr>
          <w:rStyle w:val="rvts9"/>
          <w:b/>
          <w:bCs/>
          <w:color w:val="333333"/>
          <w:lang w:val="uk-UA"/>
        </w:rPr>
        <w:t xml:space="preserve">б) </w:t>
      </w:r>
      <w:r w:rsidRPr="007B14AB">
        <w:rPr>
          <w:rStyle w:val="rvts9"/>
          <w:b/>
          <w:bCs/>
          <w:color w:val="333333"/>
          <w:highlight w:val="cyan"/>
          <w:lang w:val="uk-UA"/>
        </w:rPr>
        <w:t>непрямий метод</w:t>
      </w:r>
      <w:r w:rsidRPr="007B14AB">
        <w:rPr>
          <w:rStyle w:val="rvts9"/>
          <w:b/>
          <w:bCs/>
          <w:color w:val="333333"/>
          <w:lang w:val="uk-UA"/>
        </w:rPr>
        <w:t>, згідно з яким прибуток чи збиток коригується відповідно до впливу операцій негрошового характеру, будь-яких відстрочок або нарахувань минулих чи майбутніх надходжень або виплат грошових коштів щодо операційної діяльності, а також відповідно до статей доходу або витрат, пов'язаних із грошовими потоками від інвестиційної чи фінансової діяльності.</w:t>
      </w:r>
    </w:p>
    <w:p w:rsidR="009874EC" w:rsidRPr="007B14AB" w:rsidRDefault="009874EC" w:rsidP="009874E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Щодо розкриття інформації про рух грошових коштів та їх еквівалентів </w:t>
      </w: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 xml:space="preserve">по інвестиційний та фінансовій діяльності 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використовують тільки </w:t>
      </w: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 xml:space="preserve">прямий метод.  </w:t>
      </w:r>
    </w:p>
    <w:p w:rsidR="00C67416" w:rsidRPr="007B14AB" w:rsidRDefault="00C67416" w:rsidP="00D55687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55687" w:rsidRPr="007B14AB" w:rsidRDefault="00D55687" w:rsidP="00D55687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lastRenderedPageBreak/>
        <w:t>ПРЯМИЙ МЕТОД</w:t>
      </w:r>
    </w:p>
    <w:p w:rsidR="00D55687" w:rsidRPr="007B14AB" w:rsidRDefault="00D55687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При використанні прямого метода інформація про основні види грошових надходжень та витрачань може бути отримана </w:t>
      </w:r>
    </w:p>
    <w:p w:rsidR="00D55687" w:rsidRPr="007B14AB" w:rsidRDefault="00D55687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green"/>
          <w:lang w:val="uk-UA"/>
        </w:rPr>
        <w:t>або з облікових записів підприємства</w:t>
      </w: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(трудомісткий підхід)</w:t>
      </w:r>
    </w:p>
    <w:p w:rsidR="00C67416" w:rsidRPr="007B14AB" w:rsidRDefault="00C67416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t>або шляхом корегування доходу, собівартості реалізації та інших статей Звіту про сукупний дохід на:</w:t>
      </w:r>
    </w:p>
    <w:p w:rsidR="00C67416" w:rsidRPr="007B14AB" w:rsidRDefault="00C67416" w:rsidP="00C6741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 зміни в запасах, в дебіторській, в кредиторській заборгованості від операційної діяльності вподовж звітного періоду;</w:t>
      </w:r>
    </w:p>
    <w:p w:rsidR="00C67416" w:rsidRPr="007B14AB" w:rsidRDefault="00C67416" w:rsidP="00C6741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>інші негрошові статті;</w:t>
      </w:r>
    </w:p>
    <w:p w:rsidR="00C67416" w:rsidRPr="007B14AB" w:rsidRDefault="00C67416" w:rsidP="00C6741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t xml:space="preserve">інші статті, що мають вплив на грошові потоки від інвестиційної та фінансової діяльності. </w:t>
      </w:r>
    </w:p>
    <w:p w:rsidR="007B14AB" w:rsidRDefault="007B14AB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Default="007B14AB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55687" w:rsidRPr="007B14AB" w:rsidRDefault="00743B01" w:rsidP="00D55687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ВХІДНІ ДАНІ ДЛЯ СКЛАДАННЯ ЗВІТУ </w:t>
      </w:r>
    </w:p>
    <w:tbl>
      <w:tblPr>
        <w:tblStyle w:val="a4"/>
        <w:tblW w:w="10233" w:type="dxa"/>
        <w:tblLook w:val="04A0" w:firstRow="1" w:lastRow="0" w:firstColumn="1" w:lastColumn="0" w:noHBand="0" w:noVBand="1"/>
      </w:tblPr>
      <w:tblGrid>
        <w:gridCol w:w="2297"/>
        <w:gridCol w:w="1628"/>
        <w:gridCol w:w="1630"/>
        <w:gridCol w:w="677"/>
        <w:gridCol w:w="2410"/>
        <w:gridCol w:w="1591"/>
      </w:tblGrid>
      <w:tr w:rsidR="002B4484" w:rsidRPr="007B14AB" w:rsidTr="00221C24">
        <w:tc>
          <w:tcPr>
            <w:tcW w:w="2297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Баланс, тис. у.о.</w:t>
            </w:r>
          </w:p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(фрагмент)</w:t>
            </w:r>
          </w:p>
        </w:tc>
        <w:tc>
          <w:tcPr>
            <w:tcW w:w="1628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31.12.19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про сукупний дохід, </w:t>
            </w:r>
            <w:r w:rsidR="00743B01"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у.о.</w:t>
            </w:r>
          </w:p>
        </w:tc>
        <w:tc>
          <w:tcPr>
            <w:tcW w:w="1591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  <w:r w:rsidR="00743B01"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B4484" w:rsidRPr="007B14AB" w:rsidTr="00221C24">
        <w:tc>
          <w:tcPr>
            <w:tcW w:w="2297" w:type="dxa"/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засоби </w:t>
            </w:r>
          </w:p>
        </w:tc>
        <w:tc>
          <w:tcPr>
            <w:tcW w:w="1628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Дохід від реалізації</w:t>
            </w:r>
          </w:p>
        </w:tc>
        <w:tc>
          <w:tcPr>
            <w:tcW w:w="1591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2B4484" w:rsidRPr="007B14AB" w:rsidTr="00221C24">
        <w:tc>
          <w:tcPr>
            <w:tcW w:w="2297" w:type="dxa"/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Дебіторська заборгованість за розрахунками з покупцями</w:t>
            </w:r>
          </w:p>
        </w:tc>
        <w:tc>
          <w:tcPr>
            <w:tcW w:w="1628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реалізації, в тому числі:</w:t>
            </w:r>
          </w:p>
        </w:tc>
        <w:tc>
          <w:tcPr>
            <w:tcW w:w="1591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(65)</w:t>
            </w:r>
          </w:p>
        </w:tc>
      </w:tr>
      <w:tr w:rsidR="002B4484" w:rsidRPr="007B14AB" w:rsidTr="00221C24">
        <w:tc>
          <w:tcPr>
            <w:tcW w:w="2297" w:type="dxa"/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………………….</w:t>
            </w:r>
          </w:p>
        </w:tc>
        <w:tc>
          <w:tcPr>
            <w:tcW w:w="1628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-амортизація ОЗ</w:t>
            </w:r>
          </w:p>
        </w:tc>
        <w:tc>
          <w:tcPr>
            <w:tcW w:w="1591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(8)</w:t>
            </w:r>
          </w:p>
        </w:tc>
      </w:tr>
      <w:tr w:rsidR="002B4484" w:rsidRPr="007B14AB" w:rsidTr="00221C24">
        <w:tc>
          <w:tcPr>
            <w:tcW w:w="2297" w:type="dxa"/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Кредиторська заборгованість перед постачальниками</w:t>
            </w:r>
          </w:p>
        </w:tc>
        <w:tc>
          <w:tcPr>
            <w:tcW w:w="1628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-послуги підрядних компаній</w:t>
            </w:r>
          </w:p>
        </w:tc>
        <w:tc>
          <w:tcPr>
            <w:tcW w:w="1591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(25)</w:t>
            </w:r>
          </w:p>
        </w:tc>
      </w:tr>
      <w:tr w:rsidR="002B4484" w:rsidRPr="007B14AB" w:rsidTr="00221C24">
        <w:tc>
          <w:tcPr>
            <w:tcW w:w="2297" w:type="dxa"/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Заборгованість перед персоналом по зарплаті</w:t>
            </w:r>
          </w:p>
        </w:tc>
        <w:tc>
          <w:tcPr>
            <w:tcW w:w="1628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4484" w:rsidRPr="007B14AB" w:rsidRDefault="00221C24" w:rsidP="00221C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-заробітна плата</w:t>
            </w:r>
          </w:p>
        </w:tc>
        <w:tc>
          <w:tcPr>
            <w:tcW w:w="1591" w:type="dxa"/>
          </w:tcPr>
          <w:p w:rsidR="002B4484" w:rsidRPr="007B14AB" w:rsidRDefault="00221C2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(32)</w:t>
            </w:r>
          </w:p>
        </w:tc>
      </w:tr>
      <w:tr w:rsidR="002B4484" w:rsidRPr="007B14AB" w:rsidTr="00221C24">
        <w:tc>
          <w:tcPr>
            <w:tcW w:w="2297" w:type="dxa"/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Заборгованість по податку на прибуток </w:t>
            </w:r>
          </w:p>
        </w:tc>
        <w:tc>
          <w:tcPr>
            <w:tcW w:w="1628" w:type="dxa"/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2B4484" w:rsidRPr="007B14AB" w:rsidRDefault="002B448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4484" w:rsidRPr="007B14AB" w:rsidRDefault="002B448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4484" w:rsidRPr="007B14AB" w:rsidRDefault="00221C24" w:rsidP="00221C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Прибуток до оподаткування </w:t>
            </w:r>
          </w:p>
        </w:tc>
        <w:tc>
          <w:tcPr>
            <w:tcW w:w="1591" w:type="dxa"/>
          </w:tcPr>
          <w:p w:rsidR="002B4484" w:rsidRPr="007B14AB" w:rsidRDefault="00221C2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221C24" w:rsidRPr="007B14AB" w:rsidTr="00221C24">
        <w:tc>
          <w:tcPr>
            <w:tcW w:w="2297" w:type="dxa"/>
          </w:tcPr>
          <w:p w:rsidR="00221C24" w:rsidRPr="007B14AB" w:rsidRDefault="00221C2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221C24" w:rsidRPr="007B14AB" w:rsidRDefault="00221C2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221C24" w:rsidRPr="007B14AB" w:rsidRDefault="00221C24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C24" w:rsidRPr="007B14AB" w:rsidRDefault="00221C24" w:rsidP="002B44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21C24" w:rsidRPr="007B14AB" w:rsidRDefault="00CB3240" w:rsidP="00221C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Податок на прибуток </w:t>
            </w:r>
          </w:p>
        </w:tc>
        <w:tc>
          <w:tcPr>
            <w:tcW w:w="1591" w:type="dxa"/>
          </w:tcPr>
          <w:p w:rsidR="00221C24" w:rsidRPr="007B14AB" w:rsidRDefault="00CB3240" w:rsidP="002B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(7)</w:t>
            </w:r>
          </w:p>
        </w:tc>
      </w:tr>
      <w:tr w:rsidR="00CB3240" w:rsidRPr="007B14AB" w:rsidTr="00221C24">
        <w:tc>
          <w:tcPr>
            <w:tcW w:w="2297" w:type="dxa"/>
          </w:tcPr>
          <w:p w:rsidR="00CB3240" w:rsidRPr="007B14AB" w:rsidRDefault="00CB3240" w:rsidP="00CB32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CB3240" w:rsidRPr="007B14AB" w:rsidRDefault="00CB3240" w:rsidP="00CB3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CB3240" w:rsidRPr="007B14AB" w:rsidRDefault="00CB3240" w:rsidP="00CB3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240" w:rsidRPr="007B14AB" w:rsidRDefault="00CB3240" w:rsidP="00CB32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B3240" w:rsidRPr="007B14AB" w:rsidRDefault="00CB3240" w:rsidP="00CB32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Чистий прибуток</w:t>
            </w:r>
          </w:p>
        </w:tc>
        <w:tc>
          <w:tcPr>
            <w:tcW w:w="1591" w:type="dxa"/>
          </w:tcPr>
          <w:p w:rsidR="00CB3240" w:rsidRPr="007B14AB" w:rsidRDefault="00CB3240" w:rsidP="00CB3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</w:tbl>
    <w:p w:rsidR="007B14AB" w:rsidRDefault="007B14AB" w:rsidP="00743B0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highlight w:val="cyan"/>
          <w:lang w:val="uk-UA"/>
        </w:rPr>
      </w:pPr>
    </w:p>
    <w:p w:rsidR="007B14AB" w:rsidRDefault="007B14AB" w:rsidP="00743B0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highlight w:val="cyan"/>
          <w:lang w:val="uk-UA"/>
        </w:rPr>
      </w:pPr>
    </w:p>
    <w:p w:rsidR="007B14AB" w:rsidRDefault="007B14AB" w:rsidP="00743B0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highlight w:val="cyan"/>
          <w:lang w:val="uk-UA"/>
        </w:rPr>
      </w:pPr>
    </w:p>
    <w:p w:rsidR="007B14AB" w:rsidRDefault="007B14AB" w:rsidP="00743B0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highlight w:val="cyan"/>
          <w:lang w:val="uk-UA"/>
        </w:rPr>
      </w:pPr>
    </w:p>
    <w:p w:rsidR="007B14AB" w:rsidRDefault="007B14AB" w:rsidP="00743B0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highlight w:val="cyan"/>
          <w:lang w:val="uk-UA"/>
        </w:rPr>
      </w:pPr>
    </w:p>
    <w:p w:rsidR="007B14AB" w:rsidRDefault="007B14AB" w:rsidP="00743B0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highlight w:val="cyan"/>
          <w:lang w:val="uk-UA"/>
        </w:rPr>
      </w:pPr>
    </w:p>
    <w:p w:rsidR="007B14AB" w:rsidRDefault="007B14AB" w:rsidP="00743B0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highlight w:val="cyan"/>
          <w:lang w:val="uk-UA"/>
        </w:rPr>
      </w:pPr>
    </w:p>
    <w:p w:rsidR="00C67416" w:rsidRPr="007B14AB" w:rsidRDefault="00743B01" w:rsidP="00743B0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B14AB">
        <w:rPr>
          <w:rFonts w:ascii="Times New Roman" w:hAnsi="Times New Roman" w:cs="Times New Roman"/>
          <w:sz w:val="36"/>
          <w:szCs w:val="36"/>
          <w:highlight w:val="cyan"/>
          <w:lang w:val="uk-UA"/>
        </w:rPr>
        <w:lastRenderedPageBreak/>
        <w:t xml:space="preserve">Приклад складання Звіту про рух грошових кошті </w:t>
      </w:r>
      <w:r w:rsidRPr="007B14AB">
        <w:rPr>
          <w:rFonts w:ascii="Times New Roman" w:hAnsi="Times New Roman" w:cs="Times New Roman"/>
          <w:sz w:val="36"/>
          <w:szCs w:val="36"/>
          <w:highlight w:val="yellow"/>
          <w:lang w:val="uk-UA"/>
        </w:rPr>
        <w:t>прямим методом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B53DA2" w:rsidRPr="007B14AB" w:rsidTr="00B53DA2">
        <w:tc>
          <w:tcPr>
            <w:tcW w:w="7083" w:type="dxa"/>
          </w:tcPr>
          <w:p w:rsidR="00B53DA2" w:rsidRPr="007B14AB" w:rsidRDefault="00B53DA2" w:rsidP="00B53DA2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Стаття</w:t>
            </w:r>
          </w:p>
        </w:tc>
        <w:tc>
          <w:tcPr>
            <w:tcW w:w="2977" w:type="dxa"/>
          </w:tcPr>
          <w:p w:rsidR="00B53DA2" w:rsidRPr="007B14AB" w:rsidRDefault="00B53DA2" w:rsidP="00B53DA2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Тис. у.о.</w:t>
            </w:r>
          </w:p>
        </w:tc>
      </w:tr>
      <w:tr w:rsidR="00B53DA2" w:rsidRPr="007B14AB" w:rsidTr="00B53DA2">
        <w:tc>
          <w:tcPr>
            <w:tcW w:w="7083" w:type="dxa"/>
          </w:tcPr>
          <w:p w:rsidR="00B53DA2" w:rsidRPr="007B14AB" w:rsidRDefault="00B53DA2" w:rsidP="00B53DA2">
            <w:pPr>
              <w:pStyle w:val="a3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Грошові кошти, отримані від покупців </w:t>
            </w:r>
          </w:p>
        </w:tc>
        <w:tc>
          <w:tcPr>
            <w:tcW w:w="2977" w:type="dxa"/>
          </w:tcPr>
          <w:p w:rsidR="00B53DA2" w:rsidRPr="007B14AB" w:rsidRDefault="00B53DA2" w:rsidP="00B53DA2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100+7-10 = 97</w:t>
            </w:r>
          </w:p>
        </w:tc>
      </w:tr>
      <w:tr w:rsidR="00B53DA2" w:rsidRPr="007B14AB" w:rsidTr="00B53DA2">
        <w:tc>
          <w:tcPr>
            <w:tcW w:w="7083" w:type="dxa"/>
          </w:tcPr>
          <w:p w:rsidR="00B53DA2" w:rsidRPr="007B14AB" w:rsidRDefault="00B53DA2" w:rsidP="00B53DA2">
            <w:pPr>
              <w:pStyle w:val="a3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Грошові кошти, сплачені постачальникам</w:t>
            </w:r>
          </w:p>
        </w:tc>
        <w:tc>
          <w:tcPr>
            <w:tcW w:w="2977" w:type="dxa"/>
          </w:tcPr>
          <w:p w:rsidR="00B53DA2" w:rsidRPr="007B14AB" w:rsidRDefault="00CB3240" w:rsidP="00B53DA2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</w:t>
            </w:r>
            <w:r w:rsidR="0044532B"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25+15</w:t>
            </w: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-7 = 33)</w:t>
            </w:r>
          </w:p>
        </w:tc>
      </w:tr>
      <w:tr w:rsidR="00CB3240" w:rsidRPr="007B14AB" w:rsidTr="00B53DA2">
        <w:tc>
          <w:tcPr>
            <w:tcW w:w="7083" w:type="dxa"/>
          </w:tcPr>
          <w:p w:rsidR="00CB3240" w:rsidRPr="007B14AB" w:rsidRDefault="00CB3240" w:rsidP="00B53DA2">
            <w:pPr>
              <w:pStyle w:val="a3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Грошові кошти, сплачені робітникам</w:t>
            </w:r>
          </w:p>
        </w:tc>
        <w:tc>
          <w:tcPr>
            <w:tcW w:w="2977" w:type="dxa"/>
          </w:tcPr>
          <w:p w:rsidR="00CB3240" w:rsidRPr="007B14AB" w:rsidRDefault="00CB3240" w:rsidP="00B53DA2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(32-2 = 30)</w:t>
            </w:r>
          </w:p>
        </w:tc>
      </w:tr>
      <w:tr w:rsidR="00CB3240" w:rsidRPr="007B14AB" w:rsidTr="00B53DA2">
        <w:tc>
          <w:tcPr>
            <w:tcW w:w="7083" w:type="dxa"/>
          </w:tcPr>
          <w:p w:rsidR="00CB3240" w:rsidRPr="007B14AB" w:rsidRDefault="00CB3240" w:rsidP="00B53DA2">
            <w:pPr>
              <w:pStyle w:val="a3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Грошовий потік від операційної діяльності </w:t>
            </w:r>
          </w:p>
        </w:tc>
        <w:tc>
          <w:tcPr>
            <w:tcW w:w="2977" w:type="dxa"/>
          </w:tcPr>
          <w:p w:rsidR="00CB3240" w:rsidRPr="007B14AB" w:rsidRDefault="00CB3240" w:rsidP="00B53DA2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97-33-30 = 34</w:t>
            </w:r>
          </w:p>
        </w:tc>
      </w:tr>
      <w:tr w:rsidR="00CB3240" w:rsidRPr="007B14AB" w:rsidTr="00B53DA2">
        <w:tc>
          <w:tcPr>
            <w:tcW w:w="7083" w:type="dxa"/>
          </w:tcPr>
          <w:p w:rsidR="00CB3240" w:rsidRPr="007B14AB" w:rsidRDefault="00CB3240" w:rsidP="00B53DA2">
            <w:pPr>
              <w:pStyle w:val="a3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Податок на прибуток сплачений </w:t>
            </w:r>
          </w:p>
        </w:tc>
        <w:tc>
          <w:tcPr>
            <w:tcW w:w="2977" w:type="dxa"/>
          </w:tcPr>
          <w:p w:rsidR="00CB3240" w:rsidRPr="007B14AB" w:rsidRDefault="00CB3240" w:rsidP="00B53DA2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(7-3 = 4)</w:t>
            </w:r>
          </w:p>
        </w:tc>
      </w:tr>
      <w:tr w:rsidR="00CB3240" w:rsidRPr="007B14AB" w:rsidTr="00B53DA2">
        <w:tc>
          <w:tcPr>
            <w:tcW w:w="7083" w:type="dxa"/>
          </w:tcPr>
          <w:p w:rsidR="00CB3240" w:rsidRPr="007B14AB" w:rsidRDefault="00CB3240" w:rsidP="00B53DA2">
            <w:pPr>
              <w:pStyle w:val="a3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highlight w:val="cyan"/>
                <w:lang w:val="uk-UA"/>
              </w:rPr>
              <w:t xml:space="preserve">Чистий грошовий потік від операційної діяльності </w:t>
            </w: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CB3240" w:rsidRPr="007B14AB" w:rsidRDefault="00CB3240" w:rsidP="00B53DA2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B14A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30</w:t>
            </w:r>
          </w:p>
        </w:tc>
      </w:tr>
    </w:tbl>
    <w:p w:rsidR="00B53DA2" w:rsidRPr="007B14AB" w:rsidRDefault="00B53DA2" w:rsidP="00B53DA2">
      <w:p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43B01" w:rsidRPr="007B14AB" w:rsidRDefault="00743B01" w:rsidP="00743B0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C67416" w:rsidRPr="007B14AB" w:rsidRDefault="00C67416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C67416" w:rsidRPr="007B14AB" w:rsidRDefault="00C67416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C67416" w:rsidRPr="007B14AB" w:rsidRDefault="00C67416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C67416" w:rsidRPr="007B14AB" w:rsidRDefault="00C67416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C67416" w:rsidRPr="007B14AB" w:rsidRDefault="00C67416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C67416" w:rsidRPr="007B14AB" w:rsidRDefault="00C67416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C67416" w:rsidRDefault="00C67416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B14AB" w:rsidRPr="007B14AB" w:rsidRDefault="007B14AB" w:rsidP="003F641C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EB085C" w:rsidRDefault="00EB085C" w:rsidP="007813C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EB085C">
        <w:rPr>
          <w:rFonts w:ascii="Times New Roman" w:hAnsi="Times New Roman" w:cs="Times New Roman"/>
          <w:sz w:val="36"/>
          <w:szCs w:val="36"/>
          <w:lang w:val="uk-UA"/>
        </w:rPr>
        <w:lastRenderedPageBreak/>
        <w:t>Джерела інформації для формування показника (статті)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B53DA2" w:rsidRPr="007B14AB" w:rsidRDefault="00CD1D9D" w:rsidP="007813C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Звіту про рух грошових коштів 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709"/>
        <w:gridCol w:w="5251"/>
      </w:tblGrid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Стаття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Код</w:t>
            </w:r>
          </w:p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рядка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Джерела інформації для формування показника (статті)</w:t>
            </w:r>
          </w:p>
        </w:tc>
      </w:tr>
      <w:tr w:rsidR="00B53DA2" w:rsidRPr="007B14AB" w:rsidTr="00B53DA2">
        <w:trPr>
          <w:trHeight w:val="57"/>
        </w:trPr>
        <w:tc>
          <w:tcPr>
            <w:tcW w:w="9783" w:type="dxa"/>
            <w:gridSpan w:val="3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uk-UA" w:eastAsia="ru-RU"/>
              </w:rPr>
              <w:t>І. Рух грошових коштів від операційної діяльності</w:t>
            </w:r>
          </w:p>
        </w:tc>
      </w:tr>
      <w:tr w:rsidR="00B53DA2" w:rsidRPr="007B14AB" w:rsidTr="00B53DA2">
        <w:trPr>
          <w:trHeight w:val="57"/>
        </w:trPr>
        <w:tc>
          <w:tcPr>
            <w:tcW w:w="9783" w:type="dxa"/>
            <w:gridSpan w:val="3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Надходження від: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3000</w:t>
            </w:r>
          </w:p>
        </w:tc>
        <w:tc>
          <w:tcPr>
            <w:tcW w:w="5251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Надходження від основної діяльності (за раніше відвантажену продукцію, виконані роботи, надані послуги), платежі за оренду інвестиційної нерухомості, якщо оренда є основна діяльність підприємства (разом з ПДВ).</w:t>
            </w:r>
          </w:p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Аналітика по Дт 30, 31, 334, 335 у кореспонденції з  Кт 36, 377, 70, 681.</w:t>
            </w:r>
          </w:p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Тут слід відображати аванси одержані, якщо вони не включені до додатково вписуваного ряд. 3015, Методрекомендації № 433 це не уточнюють.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Повернення податків і зборів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3005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Аналітичні дані Кт 64 у кореспонденції  з Дт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у тому числі податку на додану вартість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3006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Кт відповідного субрахунку 641 з Дт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Цільового фінансування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Аналітичні дані з Кт 48 у кореспонденції Дт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 xml:space="preserve">Надходження авансів від покупців і замовників </w:t>
            </w:r>
            <w:r w:rsidRPr="007B14A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uk-UA" w:eastAsia="ru-RU"/>
              </w:rPr>
              <w:t>(додатково вписуваний)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3015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 xml:space="preserve">Обороти за Дт 30, 31 з Кт 681. </w:t>
            </w:r>
          </w:p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Якщо облік отриманих авансів ведуть на рахунку 36, то беруть обороти за Дт 30, 31 Кт 36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Надходження від повернення авансів</w:t>
            </w:r>
          </w:p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uk-UA" w:eastAsia="ru-RU"/>
              </w:rPr>
              <w:t>(додатково вписуваний)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3020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30, 31 з Кт 371 (у частині повернених постачаль</w:t>
            </w: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softHyphen/>
              <w:t>никами передоплат й авансів). Якщо надані аванси відображають через рахунок 63, то беруть обороти за Дт 30, 31 Кт 63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Надходження від відсотків за залишками коштів на поточних рахунках</w:t>
            </w:r>
          </w:p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uk-UA" w:eastAsia="ru-RU"/>
              </w:rPr>
              <w:t>(додатково вписуваний)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3025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31 Кт 373, 719 (у частині отриманих відсотків за залишками коштів на поточних рахунках)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 xml:space="preserve">Надходження від боржників неустойки (штрафів, пені) </w:t>
            </w:r>
            <w:r w:rsidRPr="007B14A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uk-UA" w:eastAsia="ru-RU"/>
              </w:rPr>
              <w:t>(додатково вписуваний)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3035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30, 31 Кт 374 (у частині сум отриманих економічних санкцій за порушення законодавства чи договірних умов)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Надходження від операційної оренди</w:t>
            </w:r>
          </w:p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uk-UA" w:eastAsia="ru-RU"/>
              </w:rPr>
              <w:t>(додатково вписуваний)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30, 31 Кт 36, 377 (у частині виручки від надання майна в операційну оренду)</w:t>
            </w:r>
          </w:p>
        </w:tc>
      </w:tr>
      <w:tr w:rsidR="00B53DA2" w:rsidRPr="00EB085C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 w:right="131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Інші надходження</w:t>
            </w:r>
          </w:p>
        </w:tc>
        <w:tc>
          <w:tcPr>
            <w:tcW w:w="709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3095</w:t>
            </w:r>
          </w:p>
        </w:tc>
        <w:tc>
          <w:tcPr>
            <w:tcW w:w="5251" w:type="dxa"/>
            <w:shd w:val="clear" w:color="auto" w:fill="FFFFFF"/>
            <w:vAlign w:val="bottom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Показують інші надходження грошових коштів від операційної діяльності, що не включені до попередніх статей. Також відображається інформація додатково вписуваних рядків 3014-3045, крім авансів від основної реалізації.</w:t>
            </w:r>
          </w:p>
        </w:tc>
      </w:tr>
      <w:tr w:rsidR="00B53DA2" w:rsidRPr="007B14AB" w:rsidTr="00B53DA2">
        <w:trPr>
          <w:trHeight w:val="57"/>
        </w:trPr>
        <w:tc>
          <w:tcPr>
            <w:tcW w:w="9783" w:type="dxa"/>
            <w:gridSpan w:val="3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Витрачання на оплату: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Товарів (робіт, послуг)</w:t>
            </w:r>
          </w:p>
        </w:tc>
        <w:tc>
          <w:tcPr>
            <w:tcW w:w="709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3100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 xml:space="preserve">Виплати постачальникам і підрядникам за отримані ТМЦ, прийняті роботи і надані послуги. </w:t>
            </w:r>
          </w:p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Дт рах. 63, 685 у корес</w:t>
            </w: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softHyphen/>
              <w:t>понденції з Кт рах. 30, 31, 335</w:t>
            </w:r>
          </w:p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Передоплати (аванси) постачальникам і підрядникам можуть бути відображені також в ряд. 3135.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Праці</w:t>
            </w:r>
          </w:p>
        </w:tc>
        <w:tc>
          <w:tcPr>
            <w:tcW w:w="709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3105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Аналітичні дані Дт 66 у кореспонденції з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Відрахувань на соціальні заходи</w:t>
            </w:r>
          </w:p>
        </w:tc>
        <w:tc>
          <w:tcPr>
            <w:tcW w:w="709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Аналітичні дані Дт 65 у кореспонденції з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Зобов’язань з податків і зборів</w:t>
            </w:r>
          </w:p>
        </w:tc>
        <w:tc>
          <w:tcPr>
            <w:tcW w:w="709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3115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Аналітичні дані Дт 64 у кореспонденції з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Витрачання на оплату зобов’я</w:t>
            </w: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softHyphen/>
              <w:t>зань з податку на прибуток</w:t>
            </w:r>
          </w:p>
        </w:tc>
        <w:tc>
          <w:tcPr>
            <w:tcW w:w="709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3116</w:t>
            </w:r>
          </w:p>
        </w:tc>
        <w:tc>
          <w:tcPr>
            <w:tcW w:w="5251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64 (у частині податку на прибуток) Кт 31, 30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Витрачання на оплату зобов’язань з ПДВ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3117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64 (у частині ПДВ) з Кт 31, 30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Витрачання на оплату зобов’язань з інших податків та зборів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3118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64, 65 з Кт 31, 30 (крім сум ПДВ, податку на прибуток, страхових внесків)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Витрачання на оплату авансів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3135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371, 63 з Кт 30, 31 (у частині сум авансів, перерахованих у рахунок майбутніх поставок)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Витрачання на оплату повернення авансів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Обороти за Дт 681, 36 з Кт 30, 31 (у частині сум повернених покупцям передоплат й авансів)</w:t>
            </w:r>
          </w:p>
        </w:tc>
      </w:tr>
      <w:tr w:rsidR="00B53DA2" w:rsidRPr="00EB085C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Інші витрачання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3190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Аналітичні дані за Дт 37, 68, 94 та ін. із Кт рахунків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lastRenderedPageBreak/>
              <w:br w:type="page"/>
            </w:r>
            <w:r w:rsidRPr="007B14A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uk-UA" w:eastAsia="ru-RU"/>
              </w:rPr>
              <w:t>Чистий рух коштів від операційної діяльності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3195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3000 + 3005 + 3010 + 3015 + 3020 + 3025 + 3035 + 3040 + 3045 + 3050 + 3055 + 3095 – (3100 + 3105 + 3110 + 3115 + 3135 +3140 + 3145 + 3150 + 3155+ 3190)</w:t>
            </w:r>
          </w:p>
        </w:tc>
      </w:tr>
      <w:tr w:rsidR="00B53DA2" w:rsidRPr="007B14AB" w:rsidTr="00B53DA2">
        <w:trPr>
          <w:trHeight w:val="57"/>
        </w:trPr>
        <w:tc>
          <w:tcPr>
            <w:tcW w:w="9783" w:type="dxa"/>
            <w:gridSpan w:val="3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II. Рух коштів у результаті інвестиційної діяльності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Надходження від реалізації:</w:t>
            </w:r>
          </w:p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фінансових інвестицій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3200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Дт 30, 31 у кореспонденції з Кт 14, 352, 36, 377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необоротних активів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3205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Аналітичні дані Кт 36, 377 у кореспонденції Дт 30, 31 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Надходження від отриманих: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процентів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3215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Обороти за Дт 30, 31 з  Кт 373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дивідендів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3220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Обороти за Дт 30, 31 з Кт 373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Інші надходження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3250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за Дт 30, 31 з Кт 143, 182, 183, 184, 352, 377, 379, 48, 681, 36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Витрачання на придбання: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фінансових інвестицій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3255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Обороти за Дт 14, 352, 685, 63 з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необоротних активів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3260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Обороти за Дт 65, 641, 642, 684, 685, 63, 48 з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платежі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3290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3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Інші платежі, для відображення яких за ознаками істотності не можна було виділити окрему статтю або які не включені до попередніх статей цього розділу звіту. Аналітичні дані з Кт 30, 31 у кореспонденції з Дт 143, 183, 184, 352, 377, 379, 681, 36 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Чистий рух кошті від інвестиційної діяльності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3295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Рядки (3200 + 3205 +3215 +3220 +3225 +3230 +3235 +3250) – рядки (3255+3260+3270+3275+3280+3290)</w:t>
            </w:r>
          </w:p>
        </w:tc>
      </w:tr>
      <w:tr w:rsidR="00B53DA2" w:rsidRPr="007B14AB" w:rsidTr="00B53DA2">
        <w:trPr>
          <w:trHeight w:val="57"/>
        </w:trPr>
        <w:tc>
          <w:tcPr>
            <w:tcW w:w="9783" w:type="dxa"/>
            <w:gridSpan w:val="3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III. Рух коштів у результаті фінансової діяльності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Надходження від: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власного капіталу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3300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Кт 42, 46 у кореспонденції з Дт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отримання позик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3305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Кт 50, 51, 52, 55, 60, 62 у кореспонденції з Дт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надходження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3340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Дт 30, 31 у кореспонденції з Кт 685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Витрачання на: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викуп власних акцій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3345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Дт 45 у кореспонденції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погашення позик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3350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Дт 60, 50 у кореспонденції з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сплату дивідендів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3355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Дт 67 у кореспонденції з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витрачання на сплату процентів</w:t>
            </w:r>
          </w:p>
          <w:p w:rsidR="00B53DA2" w:rsidRPr="007B14AB" w:rsidRDefault="00B53DA2" w:rsidP="00B53DA2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(додатково вписуваний)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3360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Аналітичні дані Дт 684 у кореспонденції з КТ 30, 31 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платежі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3390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Показують інші платежі, за якими за ознакою суттєвості не можна було виділити додатковий рядок та які не були включені до попередніх рядків. Аналітичні дані Кт 30, 31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Чистий рух коштів від фінансової діяльності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3395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Рядки (3300+3305+3310+3340) – рядки (3345+3350+3355+3360+3365+3370+3375+3390)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Чистий рух коштів за звітний період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3400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+/– Ряд. 3195 +/– 3295 +/– 3395</w:t>
            </w:r>
          </w:p>
        </w:tc>
      </w:tr>
      <w:tr w:rsidR="00B53DA2" w:rsidRPr="007B14AB" w:rsidTr="00B53DA2">
        <w:trPr>
          <w:trHeight w:val="57"/>
        </w:trPr>
        <w:tc>
          <w:tcPr>
            <w:tcW w:w="9783" w:type="dxa"/>
            <w:gridSpan w:val="3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Залишок коштів на початок року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3405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Рядок 1165 графи 3 Балансу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Вплив зміни валютних курсів на залишок коштів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3410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Аналітичні дані рахунків 30, 31 у кореспонденції з субрахунками 714, 744, 945, 974</w:t>
            </w:r>
          </w:p>
        </w:tc>
      </w:tr>
      <w:tr w:rsidR="00B53DA2" w:rsidRPr="007B14AB" w:rsidTr="00B53DA2">
        <w:trPr>
          <w:trHeight w:val="57"/>
        </w:trPr>
        <w:tc>
          <w:tcPr>
            <w:tcW w:w="3823" w:type="dxa"/>
            <w:shd w:val="clear" w:color="auto" w:fill="FFFFFF"/>
          </w:tcPr>
          <w:p w:rsidR="00B53DA2" w:rsidRPr="007B14AB" w:rsidRDefault="00B53DA2" w:rsidP="00B53DA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Залишок коштів на кінець року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3415</w:t>
            </w:r>
          </w:p>
        </w:tc>
        <w:tc>
          <w:tcPr>
            <w:tcW w:w="5251" w:type="dxa"/>
            <w:shd w:val="clear" w:color="auto" w:fill="FFFFFF"/>
            <w:vAlign w:val="center"/>
          </w:tcPr>
          <w:p w:rsidR="00B53DA2" w:rsidRPr="007B14AB" w:rsidRDefault="00B53DA2" w:rsidP="00B53DA2">
            <w:pPr>
              <w:spacing w:after="0" w:line="240" w:lineRule="auto"/>
              <w:ind w:left="107" w:right="16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Має дорівнювати рядку 1165 графи 4 Балансу</w:t>
            </w:r>
          </w:p>
        </w:tc>
      </w:tr>
    </w:tbl>
    <w:p w:rsidR="00C67416" w:rsidRPr="007B14AB" w:rsidRDefault="00C67416" w:rsidP="00EB085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bookmarkStart w:id="6" w:name="_GoBack"/>
      <w:bookmarkEnd w:id="6"/>
    </w:p>
    <w:sectPr w:rsidR="00C67416" w:rsidRPr="007B14AB" w:rsidSect="00AD2C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237FB"/>
    <w:multiLevelType w:val="hybridMultilevel"/>
    <w:tmpl w:val="A448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6CC6"/>
    <w:multiLevelType w:val="hybridMultilevel"/>
    <w:tmpl w:val="61A8FFFA"/>
    <w:lvl w:ilvl="0" w:tplc="F4782E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021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3481"/>
    <w:multiLevelType w:val="hybridMultilevel"/>
    <w:tmpl w:val="FAFC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B2CEA"/>
    <w:multiLevelType w:val="hybridMultilevel"/>
    <w:tmpl w:val="7548B7BC"/>
    <w:lvl w:ilvl="0" w:tplc="83105E4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CC"/>
    <w:rsid w:val="000B0890"/>
    <w:rsid w:val="00221C24"/>
    <w:rsid w:val="002B4484"/>
    <w:rsid w:val="002F6E58"/>
    <w:rsid w:val="003B2BA4"/>
    <w:rsid w:val="003E50DC"/>
    <w:rsid w:val="003F641C"/>
    <w:rsid w:val="0044532B"/>
    <w:rsid w:val="004505CF"/>
    <w:rsid w:val="00494179"/>
    <w:rsid w:val="006F1479"/>
    <w:rsid w:val="00701C28"/>
    <w:rsid w:val="007301AA"/>
    <w:rsid w:val="00743B01"/>
    <w:rsid w:val="007813CC"/>
    <w:rsid w:val="007B14AB"/>
    <w:rsid w:val="009874EC"/>
    <w:rsid w:val="00AD2C59"/>
    <w:rsid w:val="00B53DA2"/>
    <w:rsid w:val="00B67E0D"/>
    <w:rsid w:val="00C67416"/>
    <w:rsid w:val="00CB3240"/>
    <w:rsid w:val="00CD1D9D"/>
    <w:rsid w:val="00D3160F"/>
    <w:rsid w:val="00D55687"/>
    <w:rsid w:val="00DA0AE2"/>
    <w:rsid w:val="00EB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BE54"/>
  <w15:chartTrackingRefBased/>
  <w15:docId w15:val="{030037E5-CB17-4E0E-8CDE-1B58542D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DC"/>
    <w:pPr>
      <w:ind w:left="720"/>
      <w:contextualSpacing/>
    </w:pPr>
  </w:style>
  <w:style w:type="table" w:styleId="a4">
    <w:name w:val="Table Grid"/>
    <w:basedOn w:val="a1"/>
    <w:uiPriority w:val="39"/>
    <w:rsid w:val="0073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0B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4">
    <w:name w:val="style14"/>
    <w:basedOn w:val="a0"/>
    <w:rsid w:val="000B0890"/>
  </w:style>
  <w:style w:type="character" w:customStyle="1" w:styleId="style15">
    <w:name w:val="style15"/>
    <w:basedOn w:val="a0"/>
    <w:rsid w:val="000B0890"/>
  </w:style>
  <w:style w:type="paragraph" w:customStyle="1" w:styleId="style6">
    <w:name w:val="style6"/>
    <w:basedOn w:val="a"/>
    <w:rsid w:val="000B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8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8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2021-02-26T17:40:00Z</dcterms:created>
  <dcterms:modified xsi:type="dcterms:W3CDTF">2021-03-01T19:27:00Z</dcterms:modified>
</cp:coreProperties>
</file>