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F5" w:rsidRDefault="00CF7FF5" w:rsidP="00CF7F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</w:p>
    <w:p w:rsidR="00CF7FF5" w:rsidRDefault="00CF7FF5" w:rsidP="00CF7F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Основна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spellStart"/>
      <w:r>
        <w:rPr>
          <w:lang w:val="uk-UA"/>
        </w:rPr>
        <w:t>Просалова</w:t>
      </w:r>
      <w:proofErr w:type="spellEnd"/>
      <w:r>
        <w:rPr>
          <w:lang w:val="uk-UA"/>
        </w:rPr>
        <w:t xml:space="preserve"> В. А. </w:t>
      </w:r>
      <w:proofErr w:type="spellStart"/>
      <w:r>
        <w:rPr>
          <w:lang w:val="uk-UA"/>
        </w:rPr>
        <w:t>Інтермедіальні</w:t>
      </w:r>
      <w:proofErr w:type="spellEnd"/>
      <w:r>
        <w:rPr>
          <w:lang w:val="uk-UA"/>
        </w:rPr>
        <w:t xml:space="preserve"> аспекти новітньої української літератури : монографія. </w:t>
      </w:r>
      <w:proofErr w:type="spellStart"/>
      <w:r>
        <w:t>Донецьк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ДонНУ</w:t>
      </w:r>
      <w:proofErr w:type="spellEnd"/>
      <w:r>
        <w:t>, 2014. 154 с.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spellStart"/>
      <w:r>
        <w:t>Блум</w:t>
      </w:r>
      <w:proofErr w:type="spellEnd"/>
      <w:r>
        <w:t xml:space="preserve"> Г. </w:t>
      </w:r>
      <w:proofErr w:type="spellStart"/>
      <w:r>
        <w:t>Західний</w:t>
      </w:r>
      <w:proofErr w:type="spellEnd"/>
      <w:r>
        <w:t xml:space="preserve"> канон: книги на </w:t>
      </w:r>
      <w:proofErr w:type="spellStart"/>
      <w:r>
        <w:t>тлі</w:t>
      </w:r>
      <w:proofErr w:type="spellEnd"/>
      <w:r>
        <w:t xml:space="preserve"> </w:t>
      </w:r>
      <w:proofErr w:type="spellStart"/>
      <w:r>
        <w:t>епох</w:t>
      </w:r>
      <w:proofErr w:type="spellEnd"/>
      <w:r>
        <w:t xml:space="preserve"> </w:t>
      </w:r>
      <w:r>
        <w:rPr>
          <w:lang w:val="uk-UA"/>
        </w:rPr>
        <w:t>/</w:t>
      </w:r>
      <w:r>
        <w:t xml:space="preserve"> [пер. з англ. Р. </w:t>
      </w:r>
      <w:proofErr w:type="spellStart"/>
      <w:r>
        <w:t>Семківа</w:t>
      </w:r>
      <w:proofErr w:type="spellEnd"/>
      <w:r>
        <w:t>]. К</w:t>
      </w:r>
      <w:proofErr w:type="spellStart"/>
      <w:r>
        <w:rPr>
          <w:lang w:val="uk-UA"/>
        </w:rPr>
        <w:t>иїв</w:t>
      </w:r>
      <w:proofErr w:type="spellEnd"/>
      <w:proofErr w:type="gramStart"/>
      <w:r>
        <w:t xml:space="preserve"> :</w:t>
      </w:r>
      <w:proofErr w:type="gramEnd"/>
      <w:r>
        <w:t xml:space="preserve"> Факт, 2007. 720</w:t>
      </w:r>
      <w:r>
        <w:rPr>
          <w:lang w:val="uk-UA"/>
        </w:rPr>
        <w:t> </w:t>
      </w:r>
      <w:r>
        <w:t xml:space="preserve">с. 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 </w:t>
      </w:r>
      <w:proofErr w:type="spellStart"/>
      <w:r>
        <w:t>Гундорова</w:t>
      </w:r>
      <w:proofErr w:type="spellEnd"/>
      <w:r>
        <w:t xml:space="preserve"> Т. </w:t>
      </w:r>
      <w:proofErr w:type="spellStart"/>
      <w:r>
        <w:t>Кітч</w:t>
      </w:r>
      <w:proofErr w:type="spellEnd"/>
      <w:r>
        <w:t xml:space="preserve"> і </w:t>
      </w:r>
      <w:proofErr w:type="spellStart"/>
      <w:r>
        <w:t>література</w:t>
      </w:r>
      <w:proofErr w:type="spellEnd"/>
      <w:r>
        <w:t xml:space="preserve">. </w:t>
      </w:r>
      <w:proofErr w:type="spellStart"/>
      <w:r>
        <w:t>Травестії</w:t>
      </w:r>
      <w:proofErr w:type="spellEnd"/>
      <w:r>
        <w:t>. К</w:t>
      </w:r>
      <w:proofErr w:type="spellStart"/>
      <w:r>
        <w:rPr>
          <w:lang w:val="uk-UA"/>
        </w:rPr>
        <w:t>иїв</w:t>
      </w:r>
      <w:proofErr w:type="spellEnd"/>
      <w:proofErr w:type="gramStart"/>
      <w:r>
        <w:t xml:space="preserve"> :</w:t>
      </w:r>
      <w:proofErr w:type="gramEnd"/>
      <w:r>
        <w:t xml:space="preserve"> Факт, 2008. 284 с. 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 </w:t>
      </w:r>
      <w:proofErr w:type="spellStart"/>
      <w:r>
        <w:t>Гундорова</w:t>
      </w:r>
      <w:proofErr w:type="spellEnd"/>
      <w:r>
        <w:t xml:space="preserve"> Т. </w:t>
      </w:r>
      <w:proofErr w:type="spellStart"/>
      <w:r>
        <w:t>Транзитна</w:t>
      </w:r>
      <w:proofErr w:type="spellEnd"/>
      <w:r>
        <w:t xml:space="preserve"> культура. </w:t>
      </w:r>
      <w:proofErr w:type="spellStart"/>
      <w:r>
        <w:t>Симптоми</w:t>
      </w:r>
      <w:proofErr w:type="spellEnd"/>
      <w:r>
        <w:t xml:space="preserve"> </w:t>
      </w:r>
      <w:proofErr w:type="spellStart"/>
      <w:r>
        <w:t>постколоніальної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rPr>
          <w:lang w:val="uk-UA"/>
        </w:rPr>
        <w:t>.</w:t>
      </w:r>
      <w:r>
        <w:t xml:space="preserve"> </w:t>
      </w:r>
      <w:proofErr w:type="spellStart"/>
      <w:r>
        <w:t>Київ</w:t>
      </w:r>
      <w:proofErr w:type="spellEnd"/>
      <w:r>
        <w:t xml:space="preserve"> : </w:t>
      </w:r>
      <w:proofErr w:type="spellStart"/>
      <w:r>
        <w:t>Гран</w:t>
      </w:r>
      <w:proofErr w:type="gramStart"/>
      <w:r>
        <w:t>і</w:t>
      </w:r>
      <w:proofErr w:type="spellEnd"/>
      <w:r>
        <w:t>-</w:t>
      </w:r>
      <w:proofErr w:type="gramEnd"/>
      <w:r>
        <w:t xml:space="preserve">Т, 2013. 548 с. 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spellStart"/>
      <w:r>
        <w:t>Постколоніалізм</w:t>
      </w:r>
      <w:proofErr w:type="spellEnd"/>
      <w:r>
        <w:t xml:space="preserve">. </w:t>
      </w:r>
      <w:proofErr w:type="spellStart"/>
      <w:r>
        <w:t>Генерації</w:t>
      </w:r>
      <w:proofErr w:type="spellEnd"/>
      <w:r>
        <w:t xml:space="preserve">. Культура / за ред. Т. </w:t>
      </w:r>
      <w:proofErr w:type="spellStart"/>
      <w:r>
        <w:t>Гундорової</w:t>
      </w:r>
      <w:proofErr w:type="spellEnd"/>
      <w:r>
        <w:t xml:space="preserve">, А. </w:t>
      </w:r>
      <w:proofErr w:type="spellStart"/>
      <w:r>
        <w:t>Матусяк</w:t>
      </w:r>
      <w:proofErr w:type="spellEnd"/>
      <w:r>
        <w:t>. К</w:t>
      </w:r>
      <w:proofErr w:type="spellStart"/>
      <w:r>
        <w:rPr>
          <w:lang w:val="uk-UA"/>
        </w:rPr>
        <w:t>иїв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Лаурус</w:t>
      </w:r>
      <w:proofErr w:type="spellEnd"/>
      <w:r>
        <w:t>, 2016.</w:t>
      </w:r>
      <w:r>
        <w:rPr>
          <w:lang w:val="uk-UA"/>
        </w:rPr>
        <w:t xml:space="preserve"> 336 с. 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spellStart"/>
      <w:r>
        <w:t>Бовсунівська</w:t>
      </w:r>
      <w:proofErr w:type="spellEnd"/>
      <w:r>
        <w:t xml:space="preserve"> Т. В. </w:t>
      </w:r>
      <w:proofErr w:type="spellStart"/>
      <w:r>
        <w:t>Екфразис</w:t>
      </w:r>
      <w:proofErr w:type="spellEnd"/>
      <w:r>
        <w:t xml:space="preserve">. </w:t>
      </w:r>
      <w:proofErr w:type="spellStart"/>
      <w:r>
        <w:t>Вербальні</w:t>
      </w:r>
      <w:proofErr w:type="spellEnd"/>
      <w:r>
        <w:t xml:space="preserve"> </w:t>
      </w:r>
      <w:proofErr w:type="spellStart"/>
      <w:r>
        <w:t>образи</w:t>
      </w:r>
      <w:proofErr w:type="spellEnd"/>
      <w:r>
        <w:t xml:space="preserve"> </w:t>
      </w:r>
      <w:proofErr w:type="spellStart"/>
      <w:r>
        <w:t>мистецтва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монографія</w:t>
      </w:r>
      <w:proofErr w:type="spellEnd"/>
      <w:r>
        <w:t xml:space="preserve"> / Т. В. </w:t>
      </w:r>
      <w:proofErr w:type="spellStart"/>
      <w:r>
        <w:t>Бовсунівська</w:t>
      </w:r>
      <w:proofErr w:type="spellEnd"/>
      <w:r>
        <w:t xml:space="preserve">, Р. К. Бобрик, О. М. Виноградов, Л. С. </w:t>
      </w:r>
      <w:proofErr w:type="spellStart"/>
      <w:r>
        <w:t>Генералюк</w:t>
      </w:r>
      <w:proofErr w:type="spellEnd"/>
      <w:r>
        <w:t xml:space="preserve">, Т. В. Гребенюк; ред.: Т. В. </w:t>
      </w:r>
      <w:proofErr w:type="spellStart"/>
      <w:r>
        <w:t>Бовсунівська</w:t>
      </w:r>
      <w:proofErr w:type="spellEnd"/>
      <w:r>
        <w:rPr>
          <w:lang w:val="uk-UA"/>
        </w:rPr>
        <w:t xml:space="preserve">. </w:t>
      </w:r>
      <w:r>
        <w:t>К</w:t>
      </w:r>
      <w:proofErr w:type="spellStart"/>
      <w:r>
        <w:rPr>
          <w:lang w:val="uk-UA"/>
        </w:rPr>
        <w:t>иїв</w:t>
      </w:r>
      <w:proofErr w:type="spellEnd"/>
      <w:r>
        <w:rPr>
          <w:lang w:val="uk-UA"/>
        </w:rPr>
        <w:t xml:space="preserve"> </w:t>
      </w:r>
      <w:r>
        <w:t xml:space="preserve">, 2013. 237 с. 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proofErr w:type="spellStart"/>
      <w:r>
        <w:rPr>
          <w:lang w:val="uk-UA"/>
        </w:rPr>
        <w:t>Просалова</w:t>
      </w:r>
      <w:proofErr w:type="spellEnd"/>
      <w:r>
        <w:rPr>
          <w:lang w:val="uk-UA"/>
        </w:rPr>
        <w:t xml:space="preserve"> В.А. </w:t>
      </w:r>
      <w:proofErr w:type="spellStart"/>
      <w:r>
        <w:rPr>
          <w:lang w:val="uk-UA"/>
        </w:rPr>
        <w:t>Інтермедіальні</w:t>
      </w:r>
      <w:proofErr w:type="spellEnd"/>
      <w:r>
        <w:rPr>
          <w:lang w:val="uk-UA"/>
        </w:rPr>
        <w:t xml:space="preserve"> аспекти новітньої української літератури : монографія. Донецьк: </w:t>
      </w:r>
      <w:proofErr w:type="spellStart"/>
      <w:r>
        <w:rPr>
          <w:lang w:val="uk-UA"/>
        </w:rPr>
        <w:t>ДонНУ</w:t>
      </w:r>
      <w:proofErr w:type="spellEnd"/>
      <w:r>
        <w:rPr>
          <w:lang w:val="uk-UA"/>
        </w:rPr>
        <w:t>, 2014. – 154 с.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>
        <w:rPr>
          <w:lang w:val="uk-UA"/>
        </w:rPr>
        <w:t xml:space="preserve">Фесенко В. І. Література і живопис: </w:t>
      </w:r>
      <w:proofErr w:type="spellStart"/>
      <w:r>
        <w:rPr>
          <w:lang w:val="uk-UA"/>
        </w:rPr>
        <w:t>інтермедіальний</w:t>
      </w:r>
      <w:proofErr w:type="spellEnd"/>
      <w:r>
        <w:rPr>
          <w:lang w:val="uk-UA"/>
        </w:rPr>
        <w:t xml:space="preserve"> дискурс 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посібник. Київ : Вид. центр КНЛУ, 2014. 398 с. </w:t>
      </w:r>
    </w:p>
    <w:p w:rsidR="00CF7FF5" w:rsidRDefault="00CF7FF5" w:rsidP="00CF7FF5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>
        <w:rPr>
          <w:lang w:val="uk-UA"/>
        </w:rPr>
        <w:t xml:space="preserve">Шаповал М. </w:t>
      </w:r>
      <w:proofErr w:type="spellStart"/>
      <w:r>
        <w:rPr>
          <w:lang w:val="uk-UA"/>
        </w:rPr>
        <w:t>Інтертекст</w:t>
      </w:r>
      <w:proofErr w:type="spellEnd"/>
      <w:r>
        <w:rPr>
          <w:lang w:val="uk-UA"/>
        </w:rPr>
        <w:t xml:space="preserve"> у світлі рампи: </w:t>
      </w:r>
      <w:proofErr w:type="spellStart"/>
      <w:r>
        <w:rPr>
          <w:lang w:val="uk-UA"/>
        </w:rPr>
        <w:t>міжтекстові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міжсуб'єктні</w:t>
      </w:r>
      <w:proofErr w:type="spellEnd"/>
      <w:r>
        <w:rPr>
          <w:lang w:val="uk-UA"/>
        </w:rPr>
        <w:t xml:space="preserve"> реляції української драми. Київ : Автограф, 2009. 78 с.</w:t>
      </w:r>
    </w:p>
    <w:p w:rsidR="00CF7FF5" w:rsidRDefault="00CF7FF5" w:rsidP="00CF7FF5">
      <w:pPr>
        <w:pStyle w:val="a4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  <w:proofErr w:type="spellStart"/>
      <w:r>
        <w:rPr>
          <w:b/>
        </w:rPr>
        <w:t>Додаткова</w:t>
      </w:r>
      <w:proofErr w:type="spellEnd"/>
    </w:p>
    <w:p w:rsidR="00CF7FF5" w:rsidRDefault="00CF7FF5" w:rsidP="00CF7FF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</w:pPr>
      <w:proofErr w:type="spellStart"/>
      <w:r>
        <w:t>Філоненко</w:t>
      </w:r>
      <w:proofErr w:type="spellEnd"/>
      <w:r>
        <w:t xml:space="preserve"> О. Г. </w:t>
      </w:r>
      <w:proofErr w:type="spellStart"/>
      <w:r>
        <w:t>Переповідаючи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Просперо (</w:t>
      </w:r>
      <w:proofErr w:type="spellStart"/>
      <w:r>
        <w:t>кінематографічна</w:t>
      </w:r>
      <w:proofErr w:type="spellEnd"/>
      <w:r>
        <w:t xml:space="preserve"> </w:t>
      </w:r>
      <w:proofErr w:type="spellStart"/>
      <w:r>
        <w:t>трансформація</w:t>
      </w:r>
      <w:proofErr w:type="spellEnd"/>
      <w:r>
        <w:t xml:space="preserve"> «</w:t>
      </w:r>
      <w:proofErr w:type="spellStart"/>
      <w:r>
        <w:t>Бурі</w:t>
      </w:r>
      <w:proofErr w:type="spellEnd"/>
      <w:r>
        <w:t xml:space="preserve">» </w:t>
      </w:r>
      <w:proofErr w:type="spellStart"/>
      <w:r>
        <w:t>Вільяма</w:t>
      </w:r>
      <w:proofErr w:type="spellEnd"/>
      <w:r>
        <w:t xml:space="preserve"> </w:t>
      </w:r>
      <w:proofErr w:type="spellStart"/>
      <w:r>
        <w:t>Шекспіра</w:t>
      </w:r>
      <w:proofErr w:type="spellEnd"/>
      <w:r>
        <w:t>)</w:t>
      </w:r>
      <w:proofErr w:type="gramStart"/>
      <w:r>
        <w:rPr>
          <w:lang w:val="uk-UA"/>
        </w:rPr>
        <w:t>.</w:t>
      </w:r>
      <w:proofErr w:type="gramEnd"/>
      <w:r>
        <w:rPr>
          <w:lang w:val="uk-UA"/>
        </w:rPr>
        <w:t xml:space="preserve"> </w:t>
      </w:r>
      <w:proofErr w:type="spellStart"/>
      <w:r>
        <w:rPr>
          <w:i/>
        </w:rPr>
        <w:t>І</w:t>
      </w:r>
      <w:proofErr w:type="gramStart"/>
      <w:r>
        <w:rPr>
          <w:i/>
        </w:rPr>
        <w:t>н</w:t>
      </w:r>
      <w:proofErr w:type="gramEnd"/>
      <w:r>
        <w:rPr>
          <w:i/>
        </w:rPr>
        <w:t>оземна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філологія</w:t>
      </w:r>
      <w:proofErr w:type="spellEnd"/>
      <w:r>
        <w:t xml:space="preserve">. 2014. </w:t>
      </w:r>
      <w:proofErr w:type="spellStart"/>
      <w:r>
        <w:t>Випу</w:t>
      </w:r>
      <w:proofErr w:type="spellEnd"/>
      <w:r>
        <w:rPr>
          <w:lang w:val="uk-UA"/>
        </w:rPr>
        <w:t>.</w:t>
      </w:r>
      <w:r>
        <w:t xml:space="preserve"> 126. Ч. 2. С. 170–177.</w:t>
      </w:r>
    </w:p>
    <w:p w:rsidR="00CF7FF5" w:rsidRDefault="00CF7FF5" w:rsidP="00CF7FF5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Лімборський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І.В. Світова література і глобалізація. Черкаси: Брама-Україна, 2011. 192 с.</w:t>
      </w:r>
    </w:p>
    <w:p w:rsidR="00CF7FF5" w:rsidRDefault="00CF7FF5" w:rsidP="00CF7FF5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</w:rPr>
        <w:t>Socrealizm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fabuły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komunikaty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ikony</w:t>
      </w:r>
      <w:proofErr w:type="spellEnd"/>
      <w:r>
        <w:rPr>
          <w:rFonts w:ascii="Times New Roman" w:hAnsi="Times New Roman" w:cs="Times New Roman"/>
          <w:sz w:val="24"/>
        </w:rPr>
        <w:t xml:space="preserve"> / [</w:t>
      </w:r>
      <w:proofErr w:type="spellStart"/>
      <w:r>
        <w:rPr>
          <w:rFonts w:ascii="Times New Roman" w:hAnsi="Times New Roman" w:cs="Times New Roman"/>
          <w:sz w:val="24"/>
        </w:rPr>
        <w:t>red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Krzysztof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Stępnik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Magdalena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Piechota</w:t>
      </w:r>
      <w:proofErr w:type="spellEnd"/>
      <w:r>
        <w:rPr>
          <w:rFonts w:ascii="Times New Roman" w:hAnsi="Times New Roman" w:cs="Times New Roman"/>
          <w:sz w:val="24"/>
        </w:rPr>
        <w:t xml:space="preserve">]. </w:t>
      </w:r>
      <w:proofErr w:type="spellStart"/>
      <w:r>
        <w:rPr>
          <w:rFonts w:ascii="Times New Roman" w:hAnsi="Times New Roman" w:cs="Times New Roman"/>
          <w:sz w:val="24"/>
        </w:rPr>
        <w:t>Lublin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Wyd-wо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Uniwersytetu</w:t>
      </w:r>
      <w:proofErr w:type="spellEnd"/>
      <w:r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Curie-Skłodowskiej</w:t>
      </w:r>
      <w:proofErr w:type="spellEnd"/>
      <w:r>
        <w:rPr>
          <w:rFonts w:ascii="Times New Roman" w:hAnsi="Times New Roman" w:cs="Times New Roman"/>
          <w:sz w:val="24"/>
        </w:rPr>
        <w:t>, 2006. 668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s.</w:t>
      </w:r>
    </w:p>
    <w:p w:rsidR="00CF7FF5" w:rsidRDefault="00CF7FF5" w:rsidP="00CF7FF5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</w:rPr>
        <w:t>Bhabha</w:t>
      </w:r>
      <w:proofErr w:type="spellEnd"/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H.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Location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Culture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London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New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York</w:t>
      </w:r>
      <w:proofErr w:type="spellEnd"/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Routledge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1994.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322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р.</w:t>
      </w:r>
    </w:p>
    <w:p w:rsidR="00CF7FF5" w:rsidRDefault="00CF7FF5" w:rsidP="00CF7FF5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</w:rPr>
        <w:t>Bluhm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Standortbestimmungen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Anmerkungen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zu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Literaturstreits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der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1990er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Jahre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Deutschland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Eine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kulturwissenschaftliche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Skizze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Deutschsprachige</w:t>
      </w:r>
      <w:proofErr w:type="spellEnd"/>
      <w:r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Gegenwartsliteratur</w:t>
      </w:r>
      <w:proofErr w:type="spellEnd"/>
      <w:r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seit</w:t>
      </w:r>
      <w:proofErr w:type="spellEnd"/>
      <w:r>
        <w:rPr>
          <w:rFonts w:ascii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1989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Heidelberg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Chronos</w:t>
      </w:r>
      <w:proofErr w:type="spellEnd"/>
      <w:r>
        <w:rPr>
          <w:rFonts w:ascii="Times New Roman" w:hAnsi="Times New Roman" w:cs="Times New Roman"/>
          <w:sz w:val="24"/>
        </w:rPr>
        <w:t>, 2004. S. 61-73.</w:t>
      </w:r>
    </w:p>
    <w:p w:rsidR="00CF7FF5" w:rsidRDefault="00CF7FF5" w:rsidP="00CF7FF5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Norton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Anthology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Theory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Criticism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New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York</w:t>
      </w:r>
      <w:proofErr w:type="spellEnd"/>
      <w:r>
        <w:rPr>
          <w:rFonts w:ascii="Times New Roman" w:hAnsi="Times New Roman" w:cs="Times New Roman"/>
          <w:sz w:val="24"/>
        </w:rPr>
        <w:t xml:space="preserve"> : W. W. </w:t>
      </w:r>
      <w:proofErr w:type="spellStart"/>
      <w:r>
        <w:rPr>
          <w:rFonts w:ascii="Times New Roman" w:hAnsi="Times New Roman" w:cs="Times New Roman"/>
          <w:sz w:val="24"/>
        </w:rPr>
        <w:t>Norton</w:t>
      </w:r>
      <w:proofErr w:type="spellEnd"/>
      <w:r>
        <w:rPr>
          <w:rFonts w:ascii="Times New Roman" w:hAnsi="Times New Roman" w:cs="Times New Roman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</w:rPr>
        <w:t>Company</w:t>
      </w:r>
      <w:proofErr w:type="spellEnd"/>
      <w:r>
        <w:rPr>
          <w:rFonts w:ascii="Times New Roman" w:hAnsi="Times New Roman" w:cs="Times New Roman"/>
          <w:sz w:val="24"/>
        </w:rPr>
        <w:t>, 2001.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2624 p.</w:t>
      </w:r>
    </w:p>
    <w:p w:rsidR="00CF7FF5" w:rsidRPr="00CF7FF5" w:rsidRDefault="00CF7FF5" w:rsidP="00CF7FF5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</w:rPr>
        <w:t>Оhman</w:t>
      </w:r>
      <w:proofErr w:type="spellEnd"/>
      <w:r>
        <w:rPr>
          <w:rFonts w:ascii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R.</w:t>
      </w:r>
      <w:r>
        <w:rPr>
          <w:rFonts w:ascii="Times New Roman" w:hAnsi="Times New Roman" w:cs="Times New Roman"/>
          <w:spacing w:val="2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pacing w:val="24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Shaping</w:t>
      </w:r>
      <w:proofErr w:type="spellEnd"/>
      <w:r>
        <w:rPr>
          <w:rFonts w:ascii="Times New Roman" w:hAnsi="Times New Roman" w:cs="Times New Roman"/>
          <w:spacing w:val="2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pacing w:val="2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Canon</w:t>
      </w:r>
      <w:proofErr w:type="spellEnd"/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U.S.</w:t>
      </w:r>
      <w:r>
        <w:rPr>
          <w:rFonts w:ascii="Times New Roman" w:hAnsi="Times New Roman" w:cs="Times New Roman"/>
          <w:spacing w:val="2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Fiction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1960–1975.</w:t>
      </w:r>
      <w:r>
        <w:rPr>
          <w:rFonts w:ascii="Times New Roman" w:hAnsi="Times New Roman" w:cs="Times New Roman"/>
          <w:spacing w:val="2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hAnsi="Times New Roman" w:cs="Times New Roman"/>
          <w:i/>
          <w:spacing w:val="2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Norton</w:t>
      </w:r>
      <w:proofErr w:type="spellEnd"/>
      <w:r>
        <w:rPr>
          <w:rFonts w:ascii="Times New Roman" w:hAnsi="Times New Roman" w:cs="Times New Roman"/>
          <w:i/>
          <w:spacing w:val="2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Anthology</w:t>
      </w:r>
      <w:proofErr w:type="spellEnd"/>
      <w:r>
        <w:rPr>
          <w:rFonts w:ascii="Times New Roman" w:hAnsi="Times New Roman" w:cs="Times New Roman"/>
          <w:i/>
          <w:spacing w:val="2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hAnsi="Times New Roman" w:cs="Times New Roman"/>
          <w:i/>
          <w:spacing w:val="2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Theory</w:t>
      </w:r>
      <w:proofErr w:type="spellEnd"/>
      <w:r>
        <w:rPr>
          <w:rFonts w:ascii="Times New Roman" w:hAnsi="Times New Roman" w:cs="Times New Roman"/>
          <w:i/>
          <w:spacing w:val="-58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and</w:t>
      </w:r>
      <w:proofErr w:type="spellEnd"/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Criticism</w:t>
      </w:r>
      <w:proofErr w:type="spellEnd"/>
      <w:r>
        <w:rPr>
          <w:rFonts w:ascii="Times New Roman" w:hAnsi="Times New Roman" w:cs="Times New Roman"/>
          <w:i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</w:rPr>
        <w:t>gen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Vincent</w:t>
      </w:r>
      <w:proofErr w:type="spellEnd"/>
      <w:r>
        <w:rPr>
          <w:rFonts w:ascii="Times New Roman" w:hAnsi="Times New Roman" w:cs="Times New Roman"/>
          <w:sz w:val="24"/>
        </w:rPr>
        <w:t xml:space="preserve"> B.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Leitch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New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York</w:t>
      </w:r>
      <w:proofErr w:type="spellEnd"/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 W.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W. </w:t>
      </w:r>
      <w:proofErr w:type="spellStart"/>
      <w:r>
        <w:rPr>
          <w:rFonts w:ascii="Times New Roman" w:hAnsi="Times New Roman" w:cs="Times New Roman"/>
          <w:sz w:val="24"/>
        </w:rPr>
        <w:t>Norton</w:t>
      </w:r>
      <w:proofErr w:type="spellEnd"/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&amp;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Company</w:t>
      </w:r>
      <w:proofErr w:type="spellEnd"/>
      <w:r>
        <w:rPr>
          <w:rFonts w:ascii="Times New Roman" w:hAnsi="Times New Roman" w:cs="Times New Roman"/>
          <w:sz w:val="24"/>
        </w:rPr>
        <w:t>, 2001.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P. 1877–1894</w:t>
      </w:r>
    </w:p>
    <w:p w:rsidR="00CF7FF5" w:rsidRDefault="00CF7FF5" w:rsidP="00CF7FF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FF5" w:rsidRDefault="00CF7FF5" w:rsidP="00CF7FF5">
      <w:pPr>
        <w:shd w:val="clear" w:color="auto" w:fill="FFFFFF"/>
        <w:tabs>
          <w:tab w:val="left" w:pos="365"/>
        </w:tabs>
        <w:spacing w:after="0" w:line="240" w:lineRule="auto"/>
        <w:ind w:left="720"/>
        <w:jc w:val="center"/>
        <w:rPr>
          <w:rFonts w:ascii="Times New Roman" w:hAnsi="Times New Roman" w:cs="Times New Roman"/>
          <w:spacing w:val="-2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:rsidR="00CF7FF5" w:rsidRDefault="00CF7FF5" w:rsidP="00CF7FF5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і час.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vippo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periodyka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=108</w:t>
        </w:r>
      </w:hyperlink>
    </w:p>
    <w:p w:rsidR="00CF7FF5" w:rsidRDefault="00CF7FF5" w:rsidP="00CF7FF5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Молодий вчений : наук. журнал.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http://surl.li/myer</w:t>
      </w:r>
    </w:p>
    <w:p w:rsidR="00CF7FF5" w:rsidRDefault="00CF7FF5" w:rsidP="00CF7FF5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Сайти «Критика»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https://krytyka.com/ua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CF7FF5" w:rsidRDefault="00CF7FF5" w:rsidP="00CF7FF5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Читомо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http://www.chytomo.com/</w:t>
        </w:r>
      </w:hyperlink>
    </w:p>
    <w:p w:rsidR="00CF7FF5" w:rsidRDefault="00CF7FF5" w:rsidP="00CF7FF5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Літакцент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http://litakcent.com/</w:t>
        </w:r>
      </w:hyperlink>
    </w:p>
    <w:p w:rsidR="00CF7FF5" w:rsidRDefault="00CF7FF5" w:rsidP="00CF7FF5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Букмоль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http://bokmal.com.ua/</w:t>
      </w:r>
    </w:p>
    <w:p w:rsidR="009A336C" w:rsidRPr="00CF7FF5" w:rsidRDefault="009A336C" w:rsidP="00CF7FF5">
      <w:bookmarkStart w:id="0" w:name="_GoBack"/>
      <w:bookmarkEnd w:id="0"/>
    </w:p>
    <w:sectPr w:rsidR="009A336C" w:rsidRPr="00CF7FF5" w:rsidSect="009A336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615C"/>
    <w:multiLevelType w:val="hybridMultilevel"/>
    <w:tmpl w:val="CB5C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34F49"/>
    <w:multiLevelType w:val="hybridMultilevel"/>
    <w:tmpl w:val="149C09A4"/>
    <w:lvl w:ilvl="0" w:tplc="BD76F89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F4EA0"/>
    <w:multiLevelType w:val="hybridMultilevel"/>
    <w:tmpl w:val="AA4A5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F5"/>
    <w:rsid w:val="00166CB7"/>
    <w:rsid w:val="00195181"/>
    <w:rsid w:val="006E1554"/>
    <w:rsid w:val="0093411A"/>
    <w:rsid w:val="009A336C"/>
    <w:rsid w:val="009B5BF5"/>
    <w:rsid w:val="009C4242"/>
    <w:rsid w:val="00CF7FF5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  <w:pPr>
      <w:spacing w:after="160"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3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9A336C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  <w:pPr>
      <w:spacing w:after="160"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36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9A336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ytomo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ytyka.com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vippo.org.ua/periodyka.php?cat=10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takc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2021-03-06T19:00:00Z</dcterms:created>
  <dcterms:modified xsi:type="dcterms:W3CDTF">2023-03-12T14:21:00Z</dcterms:modified>
</cp:coreProperties>
</file>