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3A" w:rsidRDefault="006A233A" w:rsidP="006A233A">
      <w:pPr>
        <w:widowControl w:val="0"/>
        <w:tabs>
          <w:tab w:val="left" w:pos="0"/>
          <w:tab w:val="left" w:pos="142"/>
        </w:tabs>
        <w:spacing w:line="240" w:lineRule="auto"/>
        <w:ind w:firstLine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ПИТАННЯ ДО </w:t>
      </w:r>
      <w:r w:rsidR="00183882">
        <w:rPr>
          <w:b/>
          <w:szCs w:val="28"/>
          <w:lang w:val="uk-UA"/>
        </w:rPr>
        <w:t>ЗАЛІКУ</w:t>
      </w:r>
      <w:bookmarkStart w:id="0" w:name="_GoBack"/>
      <w:bookmarkEnd w:id="0"/>
    </w:p>
    <w:p w:rsidR="006A233A" w:rsidRPr="006A233A" w:rsidRDefault="006A233A" w:rsidP="006A233A">
      <w:pPr>
        <w:widowControl w:val="0"/>
        <w:tabs>
          <w:tab w:val="clear" w:pos="709"/>
          <w:tab w:val="left" w:pos="0"/>
          <w:tab w:val="left" w:pos="142"/>
        </w:tabs>
        <w:spacing w:line="240" w:lineRule="auto"/>
        <w:ind w:firstLine="0"/>
        <w:rPr>
          <w:szCs w:val="28"/>
          <w:lang w:val="uk-UA"/>
        </w:rPr>
      </w:pPr>
    </w:p>
    <w:p w:rsidR="006A233A" w:rsidRPr="006A233A" w:rsidRDefault="006A233A" w:rsidP="006A233A">
      <w:pPr>
        <w:pStyle w:val="a4"/>
        <w:widowControl w:val="0"/>
        <w:numPr>
          <w:ilvl w:val="0"/>
          <w:numId w:val="1"/>
        </w:numPr>
        <w:tabs>
          <w:tab w:val="clear" w:pos="9356"/>
          <w:tab w:val="left" w:pos="0"/>
          <w:tab w:val="left" w:pos="142"/>
          <w:tab w:val="left" w:pos="426"/>
          <w:tab w:val="left" w:pos="1134"/>
        </w:tabs>
        <w:spacing w:before="0" w:line="360" w:lineRule="auto"/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Геополітичне, культурно-філософське, географічне, юридичне розуміння регіону. Політологічне визначення регіону. </w:t>
      </w:r>
    </w:p>
    <w:p w:rsidR="006A233A" w:rsidRPr="006A233A" w:rsidRDefault="006A233A" w:rsidP="006A233A">
      <w:pPr>
        <w:pStyle w:val="a4"/>
        <w:widowControl w:val="0"/>
        <w:numPr>
          <w:ilvl w:val="0"/>
          <w:numId w:val="1"/>
        </w:numPr>
        <w:tabs>
          <w:tab w:val="clear" w:pos="9356"/>
          <w:tab w:val="left" w:pos="0"/>
          <w:tab w:val="left" w:pos="142"/>
          <w:tab w:val="left" w:pos="426"/>
          <w:tab w:val="left" w:pos="1134"/>
        </w:tabs>
        <w:spacing w:before="0" w:line="360" w:lineRule="auto"/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Регіон як особлива політична система. </w:t>
      </w:r>
    </w:p>
    <w:p w:rsidR="006A233A" w:rsidRPr="006A233A" w:rsidRDefault="006A233A" w:rsidP="006A233A">
      <w:pPr>
        <w:pStyle w:val="a4"/>
        <w:widowControl w:val="0"/>
        <w:numPr>
          <w:ilvl w:val="0"/>
          <w:numId w:val="1"/>
        </w:numPr>
        <w:tabs>
          <w:tab w:val="clear" w:pos="9356"/>
          <w:tab w:val="left" w:pos="0"/>
          <w:tab w:val="left" w:pos="142"/>
          <w:tab w:val="left" w:pos="426"/>
          <w:tab w:val="left" w:pos="1134"/>
        </w:tabs>
        <w:spacing w:before="0" w:line="360" w:lineRule="auto"/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Об’єктивні та суб’єктивні чинники відмінності між регіонами. </w:t>
      </w:r>
    </w:p>
    <w:p w:rsidR="006A233A" w:rsidRPr="006A233A" w:rsidRDefault="006A233A" w:rsidP="006A233A">
      <w:pPr>
        <w:pStyle w:val="a4"/>
        <w:widowControl w:val="0"/>
        <w:numPr>
          <w:ilvl w:val="0"/>
          <w:numId w:val="1"/>
        </w:numPr>
        <w:tabs>
          <w:tab w:val="clear" w:pos="9356"/>
          <w:tab w:val="left" w:pos="0"/>
          <w:tab w:val="left" w:pos="142"/>
          <w:tab w:val="left" w:pos="426"/>
          <w:tab w:val="left" w:pos="1134"/>
        </w:tabs>
        <w:spacing w:before="0" w:line="360" w:lineRule="auto"/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Класифікація регіонів за рівнем розвитку.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Передумови регіональної інтеграції в Європі. 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Історія утворення Європейського Союзу. 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Членство в Європейському Союзі. Копенгагенські критерії членства. 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Права і обов’язки держав-членів Європейського Союзу. 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93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Підходи до визначення сутності регіональної політики. 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93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Цілі регіональної політики.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93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Основні завдання державної регіональної політики.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93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Принципи державної регіональної політики.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93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Структура регіональної політики за напрямами реалізації.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t>Нормативна база</w:t>
      </w:r>
      <w:r w:rsidRPr="006A233A">
        <w:rPr>
          <w:lang w:val="uk-UA"/>
        </w:rPr>
        <w:t xml:space="preserve"> регіональної політики в Європейському Союзі</w:t>
      </w:r>
      <w:r w:rsidRPr="006A233A">
        <w:t xml:space="preserve">. 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lang w:val="uk-UA"/>
        </w:rPr>
        <w:t>Інституціональне забезпечення регіонального розвитку.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>Суб’єкти реалізації виконавчої, законодавчої, судової функції в ЄС.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>Участь у проведенні регіональної політики регіональних та місцевих органів влади держав-членів ЄС.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 xml:space="preserve">Зміст програмування та прогнозування економічного та соціального розвитку регіонів. 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>Структура стратегії регіонального розвитку.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>Методи прогнозування економічного та соціального розвитку регіонів.</w:t>
      </w:r>
      <w:r w:rsidRPr="006A233A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</w:t>
      </w:r>
      <w:r w:rsidRPr="006A233A">
        <w:rPr>
          <w:lang w:val="uk-UA"/>
        </w:rPr>
        <w:t xml:space="preserve">Ініціативні регіональні програми ЄС. 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Державне регулювання доходів регіональних бюджетів.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93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«Політика вирівнювання».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93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Досвід «політики вирівнювання» зарубіжних країн. 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>Сутність інноваційного розвитку.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 xml:space="preserve">Основні інститути інноваційного розвитку: кластери, технологічні парки </w:t>
      </w:r>
      <w:r w:rsidRPr="006A233A">
        <w:rPr>
          <w:lang w:val="uk-UA"/>
        </w:rPr>
        <w:lastRenderedPageBreak/>
        <w:t xml:space="preserve">та технополіси, промислові </w:t>
      </w:r>
      <w:proofErr w:type="spellStart"/>
      <w:r w:rsidRPr="006A233A">
        <w:rPr>
          <w:lang w:val="uk-UA"/>
        </w:rPr>
        <w:t>хаби</w:t>
      </w:r>
      <w:proofErr w:type="spellEnd"/>
      <w:r w:rsidRPr="006A233A">
        <w:rPr>
          <w:lang w:val="uk-UA"/>
        </w:rPr>
        <w:t xml:space="preserve">, </w:t>
      </w:r>
      <w:proofErr w:type="spellStart"/>
      <w:r w:rsidRPr="006A233A">
        <w:rPr>
          <w:lang w:val="uk-UA"/>
        </w:rPr>
        <w:t>іннотехі</w:t>
      </w:r>
      <w:proofErr w:type="spellEnd"/>
      <w:r w:rsidRPr="006A233A">
        <w:rPr>
          <w:lang w:val="uk-UA"/>
        </w:rPr>
        <w:t xml:space="preserve">, бізнес-інкубатори. 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 xml:space="preserve">Урбанізований сталий розвиток міст ЄС як ключовий напрям у регіональній політиці ЄС. 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>Концепції розвитку сільських територій.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Норми права Європейського Союзу щодо транскордонного співробітництва.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00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Норми права країн-членів Європейського Союзу щодо участі у транскордонному співробітництві.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Інституційне забезпечення функціонування </w:t>
      </w:r>
      <w:proofErr w:type="spellStart"/>
      <w:r w:rsidRPr="006A233A">
        <w:rPr>
          <w:szCs w:val="28"/>
          <w:lang w:val="uk-UA"/>
        </w:rPr>
        <w:t>єврорегіонів</w:t>
      </w:r>
      <w:proofErr w:type="spellEnd"/>
      <w:r w:rsidRPr="006A233A">
        <w:rPr>
          <w:szCs w:val="28"/>
          <w:lang w:val="uk-UA"/>
        </w:rPr>
        <w:t xml:space="preserve">. 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  <w:tab w:val="left" w:pos="900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Діяльність двосторонніх координаційних рад по прикордонному співробітництву.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proofErr w:type="spellStart"/>
      <w:r w:rsidRPr="006A233A">
        <w:rPr>
          <w:szCs w:val="28"/>
        </w:rPr>
        <w:t>Транскордонна</w:t>
      </w:r>
      <w:proofErr w:type="spellEnd"/>
      <w:r w:rsidRPr="006A233A">
        <w:rPr>
          <w:szCs w:val="28"/>
        </w:rPr>
        <w:t xml:space="preserve"> </w:t>
      </w:r>
      <w:r w:rsidRPr="006A233A">
        <w:rPr>
          <w:szCs w:val="28"/>
          <w:lang w:val="uk-UA"/>
        </w:rPr>
        <w:t xml:space="preserve">економічна </w:t>
      </w:r>
      <w:proofErr w:type="spellStart"/>
      <w:r w:rsidRPr="006A233A">
        <w:rPr>
          <w:szCs w:val="28"/>
        </w:rPr>
        <w:t>інтеграція</w:t>
      </w:r>
      <w:proofErr w:type="spellEnd"/>
      <w:r w:rsidRPr="006A233A">
        <w:rPr>
          <w:szCs w:val="28"/>
          <w:lang w:val="uk-UA"/>
        </w:rPr>
        <w:t>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proofErr w:type="spellStart"/>
      <w:r w:rsidRPr="006A233A">
        <w:rPr>
          <w:szCs w:val="28"/>
        </w:rPr>
        <w:t>Транскордонне</w:t>
      </w:r>
      <w:proofErr w:type="spellEnd"/>
      <w:r w:rsidRPr="006A233A">
        <w:rPr>
          <w:szCs w:val="28"/>
        </w:rPr>
        <w:t xml:space="preserve"> </w:t>
      </w:r>
      <w:proofErr w:type="spellStart"/>
      <w:r w:rsidRPr="006A233A">
        <w:rPr>
          <w:szCs w:val="28"/>
        </w:rPr>
        <w:t>співробітництво</w:t>
      </w:r>
      <w:proofErr w:type="spellEnd"/>
      <w:r w:rsidRPr="006A233A">
        <w:rPr>
          <w:szCs w:val="28"/>
        </w:rPr>
        <w:t xml:space="preserve"> в </w:t>
      </w:r>
      <w:proofErr w:type="gramStart"/>
      <w:r w:rsidRPr="006A233A">
        <w:rPr>
          <w:szCs w:val="28"/>
          <w:lang w:val="uk-UA"/>
        </w:rPr>
        <w:t>соц</w:t>
      </w:r>
      <w:proofErr w:type="gramEnd"/>
      <w:r w:rsidRPr="006A233A">
        <w:rPr>
          <w:szCs w:val="28"/>
          <w:lang w:val="uk-UA"/>
        </w:rPr>
        <w:t>іальній сфері.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proofErr w:type="spellStart"/>
      <w:r w:rsidRPr="006A233A">
        <w:rPr>
          <w:szCs w:val="28"/>
        </w:rPr>
        <w:t>Спільний</w:t>
      </w:r>
      <w:proofErr w:type="spellEnd"/>
      <w:r w:rsidRPr="006A233A">
        <w:rPr>
          <w:szCs w:val="28"/>
        </w:rPr>
        <w:t xml:space="preserve"> </w:t>
      </w:r>
      <w:proofErr w:type="spellStart"/>
      <w:r w:rsidRPr="006A233A">
        <w:rPr>
          <w:szCs w:val="28"/>
        </w:rPr>
        <w:t>розвиток</w:t>
      </w:r>
      <w:proofErr w:type="spellEnd"/>
      <w:r w:rsidRPr="006A233A">
        <w:rPr>
          <w:szCs w:val="28"/>
        </w:rPr>
        <w:t xml:space="preserve"> </w:t>
      </w:r>
      <w:proofErr w:type="spellStart"/>
      <w:r w:rsidRPr="006A233A">
        <w:rPr>
          <w:szCs w:val="28"/>
        </w:rPr>
        <w:t>транскордонного</w:t>
      </w:r>
      <w:proofErr w:type="spellEnd"/>
      <w:r w:rsidRPr="006A233A">
        <w:rPr>
          <w:szCs w:val="28"/>
        </w:rPr>
        <w:t xml:space="preserve"> туризму</w:t>
      </w:r>
      <w:r w:rsidRPr="006A233A">
        <w:rPr>
          <w:szCs w:val="28"/>
          <w:lang w:val="uk-UA"/>
        </w:rPr>
        <w:t>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lang w:val="uk-UA"/>
        </w:rPr>
        <w:t>Регіональна політика в унітарних державах.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 xml:space="preserve">Допомога з боку Структурного Фонду ЄС як приклад дії принципу </w:t>
      </w:r>
      <w:proofErr w:type="spellStart"/>
      <w:r w:rsidRPr="006A233A">
        <w:rPr>
          <w:lang w:val="uk-UA"/>
        </w:rPr>
        <w:t>субсидіарності</w:t>
      </w:r>
      <w:proofErr w:type="spellEnd"/>
      <w:r w:rsidRPr="006A233A">
        <w:rPr>
          <w:lang w:val="uk-UA"/>
        </w:rPr>
        <w:t xml:space="preserve">. 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>Регіональна політика у федеративних державах.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 xml:space="preserve">Сутність, форми і завдання </w:t>
      </w:r>
      <w:proofErr w:type="spellStart"/>
      <w:r w:rsidRPr="006A233A">
        <w:rPr>
          <w:lang w:val="uk-UA"/>
        </w:rPr>
        <w:t>моніт</w:t>
      </w:r>
      <w:r w:rsidRPr="006A233A">
        <w:t>орингу</w:t>
      </w:r>
      <w:proofErr w:type="spellEnd"/>
      <w:r w:rsidRPr="006A233A">
        <w:t xml:space="preserve"> </w:t>
      </w:r>
      <w:proofErr w:type="spellStart"/>
      <w:r w:rsidRPr="006A233A">
        <w:t>регіонального</w:t>
      </w:r>
      <w:proofErr w:type="spellEnd"/>
      <w:r w:rsidRPr="006A233A">
        <w:t xml:space="preserve"> </w:t>
      </w:r>
      <w:proofErr w:type="spellStart"/>
      <w:r w:rsidRPr="006A233A">
        <w:t>розвитку</w:t>
      </w:r>
      <w:proofErr w:type="spellEnd"/>
      <w:r w:rsidRPr="006A233A">
        <w:t xml:space="preserve"> в ЄС</w:t>
      </w:r>
      <w:r w:rsidRPr="006A233A">
        <w:rPr>
          <w:lang w:val="uk-UA"/>
        </w:rPr>
        <w:t>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lang w:val="uk-UA"/>
        </w:rPr>
      </w:pPr>
      <w:r w:rsidRPr="006A233A">
        <w:rPr>
          <w:lang w:val="uk-UA"/>
        </w:rPr>
        <w:t>Моніторинг впровадження та оцінка результативності регіональної політики ЄС.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Європейський вектор зовнішньої політики України.</w:t>
      </w:r>
    </w:p>
    <w:p w:rsidR="006A233A" w:rsidRPr="006A233A" w:rsidRDefault="006A233A" w:rsidP="006A233A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Заходи по виконанню Угоди про асоціацію з ЄС. 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>Вплив регіональної політики в Європейському Союзі на українську економіку.</w:t>
      </w:r>
    </w:p>
    <w:p w:rsidR="006A233A" w:rsidRPr="006A233A" w:rsidRDefault="006A233A" w:rsidP="006A233A">
      <w:pPr>
        <w:pStyle w:val="a5"/>
        <w:widowControl w:val="0"/>
        <w:numPr>
          <w:ilvl w:val="0"/>
          <w:numId w:val="1"/>
        </w:numPr>
        <w:tabs>
          <w:tab w:val="clear" w:pos="709"/>
          <w:tab w:val="left" w:pos="0"/>
          <w:tab w:val="left" w:pos="142"/>
          <w:tab w:val="left" w:pos="426"/>
        </w:tabs>
        <w:ind w:left="0" w:firstLine="0"/>
        <w:rPr>
          <w:szCs w:val="28"/>
          <w:lang w:val="uk-UA"/>
        </w:rPr>
      </w:pPr>
      <w:r w:rsidRPr="006A233A">
        <w:rPr>
          <w:szCs w:val="28"/>
          <w:lang w:val="uk-UA"/>
        </w:rPr>
        <w:t xml:space="preserve">Діяльність </w:t>
      </w:r>
      <w:proofErr w:type="spellStart"/>
      <w:r w:rsidRPr="006A233A">
        <w:rPr>
          <w:szCs w:val="28"/>
          <w:lang w:val="uk-UA"/>
        </w:rPr>
        <w:t>єврорегіонів</w:t>
      </w:r>
      <w:proofErr w:type="spellEnd"/>
      <w:r w:rsidRPr="006A233A">
        <w:rPr>
          <w:szCs w:val="28"/>
          <w:lang w:val="uk-UA"/>
        </w:rPr>
        <w:t xml:space="preserve"> з країнами-членами ЄС. </w:t>
      </w:r>
    </w:p>
    <w:p w:rsidR="007F2943" w:rsidRPr="006A233A" w:rsidRDefault="003421FA" w:rsidP="006A233A">
      <w:pPr>
        <w:tabs>
          <w:tab w:val="left" w:pos="426"/>
        </w:tabs>
        <w:ind w:firstLine="0"/>
        <w:rPr>
          <w:lang w:val="uk-UA"/>
        </w:rPr>
      </w:pPr>
    </w:p>
    <w:sectPr w:rsidR="007F2943" w:rsidRPr="006A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461A"/>
    <w:multiLevelType w:val="hybridMultilevel"/>
    <w:tmpl w:val="1C2A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3A"/>
    <w:rsid w:val="00183882"/>
    <w:rsid w:val="003421FA"/>
    <w:rsid w:val="00666CFE"/>
    <w:rsid w:val="006A233A"/>
    <w:rsid w:val="007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3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33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customStyle="1" w:styleId="a4">
    <w:name w:val="Директор"/>
    <w:basedOn w:val="a"/>
    <w:rsid w:val="006A233A"/>
    <w:pPr>
      <w:tabs>
        <w:tab w:val="clear" w:pos="709"/>
        <w:tab w:val="right" w:pos="9356"/>
      </w:tabs>
      <w:spacing w:before="960" w:line="240" w:lineRule="auto"/>
      <w:ind w:firstLine="0"/>
    </w:pPr>
    <w:rPr>
      <w:rFonts w:eastAsia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6A2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3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33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customStyle="1" w:styleId="a4">
    <w:name w:val="Директор"/>
    <w:basedOn w:val="a"/>
    <w:rsid w:val="006A233A"/>
    <w:pPr>
      <w:tabs>
        <w:tab w:val="clear" w:pos="709"/>
        <w:tab w:val="right" w:pos="9356"/>
      </w:tabs>
      <w:spacing w:before="960" w:line="240" w:lineRule="auto"/>
      <w:ind w:firstLine="0"/>
    </w:pPr>
    <w:rPr>
      <w:rFonts w:eastAsia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6A2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2023-03-15T19:59:00Z</dcterms:created>
  <dcterms:modified xsi:type="dcterms:W3CDTF">2023-03-15T19:59:00Z</dcterms:modified>
</cp:coreProperties>
</file>