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ЗАПОРІЗЬКИЙ НАЦІОНАЛЬНИЙ УНІВЕРСИТЕТ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mallCaps w:val="1"/>
          <w:rtl w:val="0"/>
        </w:rPr>
        <w:t xml:space="preserve">ФАКУЛЬТЕТ БІОЛОГІЧНИЙ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mallCaps w:val="1"/>
          <w:rtl w:val="0"/>
        </w:rPr>
        <w:t xml:space="preserve">КАФЕДРА</w:t>
      </w:r>
      <w:r w:rsidDel="00000000" w:rsidR="00000000" w:rsidRPr="00000000">
        <w:rPr>
          <w:rtl w:val="0"/>
        </w:rPr>
        <w:t xml:space="preserve">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b w:val="1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Декан біологічного факультету </w:t>
      </w:r>
    </w:p>
    <w:p w:rsidR="00000000" w:rsidDel="00000000" w:rsidP="00000000" w:rsidRDefault="00000000" w:rsidRPr="00000000" w14:paraId="0000000A">
      <w:pPr>
        <w:ind w:left="54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_______________   </w:t>
      </w:r>
      <w:r w:rsidDel="00000000" w:rsidR="00000000" w:rsidRPr="00000000">
        <w:rPr>
          <w:u w:val="single"/>
          <w:rtl w:val="0"/>
        </w:rPr>
        <w:t xml:space="preserve">Л.О. Омельянчик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(підпис)                            (ініціали та прізвище)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«______»________________ </w:t>
      </w:r>
      <w:r w:rsidDel="00000000" w:rsidR="00000000" w:rsidRPr="00000000">
        <w:rPr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Основи технічного аналізу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РОБОЧА ПРОГРАМА НАВЧАЛЬНОЇ ДИСЦИПЛІНИ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підготовки бакалавра</w:t>
      </w:r>
    </w:p>
    <w:p w:rsidR="00000000" w:rsidDel="00000000" w:rsidP="00000000" w:rsidRDefault="00000000" w:rsidRPr="00000000" w14:paraId="00000015">
      <w:pPr>
        <w:spacing w:after="120" w:before="120" w:lineRule="auto"/>
        <w:jc w:val="center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очної (денної) та заочної (дистанційної) форм здобуття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center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спеціальності 102 Хімія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left="708" w:firstLine="70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освітньо-професійна програма «Хімія»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Укладач:</w:t>
      </w:r>
      <w:r w:rsidDel="00000000" w:rsidR="00000000" w:rsidRPr="00000000">
        <w:rPr>
          <w:rtl w:val="0"/>
        </w:rPr>
        <w:t xml:space="preserve"> Луганська Ольга Василівна к. х. н., доцент, доцент кафедри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Layout w:type="fixed"/>
        <w:tblLook w:val="0000"/>
      </w:tblPr>
      <w:tblGrid>
        <w:gridCol w:w="4826"/>
        <w:gridCol w:w="4745"/>
        <w:tblGridChange w:id="0">
          <w:tblGrid>
            <w:gridCol w:w="4826"/>
            <w:gridCol w:w="4745"/>
          </w:tblGrid>
        </w:tblGridChange>
      </w:tblGrid>
      <w:tr>
        <w:trPr>
          <w:cantSplit w:val="0"/>
          <w:trHeight w:val="4154.64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Обговорено та ухвалено</w:t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 засіданні кафедри 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№__від «___»</w:t>
            </w:r>
            <w:r w:rsidDel="00000000" w:rsidR="00000000" w:rsidRPr="00000000">
              <w:rPr>
                <w:rtl w:val="0"/>
              </w:rPr>
              <w:t xml:space="preserve">______202</w:t>
            </w:r>
            <w:r w:rsidDel="00000000" w:rsidR="00000000" w:rsidRPr="00000000">
              <w:rPr>
                <w:rtl w:val="0"/>
              </w:rPr>
              <w:t xml:space="preserve">4 р.</w:t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Завідувач кафедри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              </w:t>
            </w:r>
            <w:r w:rsidDel="00000000" w:rsidR="00000000" w:rsidRPr="00000000">
              <w:rPr>
                <w:u w:val="single"/>
                <w:rtl w:val="0"/>
              </w:rPr>
              <w:t xml:space="preserve">О.А. Бражко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  <w:t xml:space="preserve">  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Погоджено 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 освітньо-професійної програми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  <w:r w:rsidDel="00000000" w:rsidR="00000000" w:rsidRPr="00000000">
              <w:rPr>
                <w:u w:val="single"/>
                <w:rtl w:val="0"/>
              </w:rPr>
              <w:t xml:space="preserve">М.М. Корнет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vertAlign w:val="subscript"/>
              </w:rPr>
            </w:pPr>
            <w:r w:rsidDel="00000000" w:rsidR="00000000" w:rsidRPr="00000000">
              <w:rPr>
                <w:vertAlign w:val="subscript"/>
                <w:rtl w:val="0"/>
              </w:rPr>
              <w:t xml:space="preserve">(підпис)                                    (ініціалі,прізвище)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Ухвалено науково-методичною радою факультету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 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№___від «___»_____2024 р.</w:t>
            </w:r>
          </w:p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Голова науково-методичної ради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</w:t>
            </w:r>
            <w:r w:rsidDel="00000000" w:rsidR="00000000" w:rsidRPr="00000000">
              <w:rPr>
                <w:rtl w:val="0"/>
              </w:rPr>
              <w:t xml:space="preserve"> факультету 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                  Н</w:t>
            </w:r>
            <w:r w:rsidDel="00000000" w:rsidR="00000000" w:rsidRPr="00000000">
              <w:rPr>
                <w:u w:val="single"/>
                <w:rtl w:val="0"/>
              </w:rPr>
              <w:t xml:space="preserve">.М. Притула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  <w:t xml:space="preserve">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</w:p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2024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14"/>
        </w:tabs>
        <w:spacing w:before="71" w:lineRule="auto"/>
        <w:ind w:left="3814" w:hanging="246.00000000000023"/>
        <w:rPr/>
      </w:pPr>
      <w:r w:rsidDel="00000000" w:rsidR="00000000" w:rsidRPr="00000000">
        <w:rPr>
          <w:b w:val="1"/>
          <w:color w:val="000000"/>
          <w:rtl w:val="0"/>
        </w:rPr>
        <w:t xml:space="preserve">Опис навчальноїдисципліни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2"/>
        <w:gridCol w:w="3266"/>
        <w:gridCol w:w="3472"/>
        <w:tblGridChange w:id="0">
          <w:tblGrid>
            <w:gridCol w:w="2902"/>
            <w:gridCol w:w="3266"/>
            <w:gridCol w:w="347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Галузь знань, 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спеціальність, освітня програма, рівень вищої освіти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Нормативні показники для планування і розподілу дисципліни на змістовому модулі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Характеристика навчальної дисципліни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очна (денна) форма здобуття освіти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Галузь знань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0065"/>
              </w:tabs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10 Природничі науки</w:t>
            </w:r>
          </w:p>
          <w:p w:rsidR="00000000" w:rsidDel="00000000" w:rsidP="00000000" w:rsidRDefault="00000000" w:rsidRPr="00000000" w14:paraId="00000045">
            <w:pPr>
              <w:rPr>
                <w:vertAlign w:val="subscript"/>
              </w:rPr>
            </w:pPr>
            <w:r w:rsidDel="00000000" w:rsidR="00000000" w:rsidRPr="00000000">
              <w:rPr>
                <w:vertAlign w:val="subscript"/>
                <w:rtl w:val="0"/>
              </w:rPr>
              <w:t xml:space="preserve">                     (шифр і назва)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кредитів –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Вибіркова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Цикл дисциплін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вільного вибору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студентів в межах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спеціальності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Спеціальність 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102 Хімія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subscript"/>
              </w:rPr>
            </w:pPr>
            <w:r w:rsidDel="00000000" w:rsidR="00000000" w:rsidRPr="00000000">
              <w:rPr>
                <w:vertAlign w:val="subscript"/>
                <w:rtl w:val="0"/>
              </w:rPr>
              <w:t xml:space="preserve">                    (шифр і назва)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Загальна кількість годин – 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Семестр: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6 - й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Освітньо-професійна програма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Хімія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vertAlign w:val="superscript"/>
                <w:rtl w:val="0"/>
              </w:rPr>
              <w:t xml:space="preserve">                            (назва)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Змістових модулів – 6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Лекції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Рівень вищої освіти: </w:t>
            </w:r>
            <w:r w:rsidDel="00000000" w:rsidR="00000000" w:rsidRPr="00000000">
              <w:rPr>
                <w:b w:val="1"/>
                <w:rtl w:val="0"/>
              </w:rPr>
              <w:t xml:space="preserve">бакалаврський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поточних контрольних заходів - 16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год.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Лабораторні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28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Самостійна робота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 год.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 підсумкового семестрового контролю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14"/>
        </w:tabs>
        <w:spacing w:before="71" w:lineRule="auto"/>
        <w:ind w:left="3814" w:firstLine="0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3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8"/>
        </w:tabs>
        <w:ind w:left="2987" w:hanging="241.00000000000023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Мета та завдання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23"/>
          <w:szCs w:val="2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Метою </w:t>
      </w:r>
      <w:r w:rsidDel="00000000" w:rsidR="00000000" w:rsidRPr="00000000">
        <w:rPr>
          <w:color w:val="000000"/>
          <w:rtl w:val="0"/>
        </w:rPr>
        <w:t xml:space="preserve">вивчення навчальної дисципліни «Основи технічного аналізу» є закріплення знань з аналітичної хімії та набуття практичних навичок для оцінки якості сировини на промисловому виробництві, контролю продукції та кінцевого продукту згідно схем аналітичного контролю підприємств з різноманітними технологіями та їх екологічного стану.  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Основними </w:t>
      </w:r>
      <w:r w:rsidDel="00000000" w:rsidR="00000000" w:rsidRPr="00000000">
        <w:rPr>
          <w:b w:val="1"/>
          <w:color w:val="000000"/>
          <w:rtl w:val="0"/>
        </w:rPr>
        <w:t xml:space="preserve">завданнями </w:t>
      </w:r>
      <w:r w:rsidDel="00000000" w:rsidR="00000000" w:rsidRPr="00000000">
        <w:rPr>
          <w:color w:val="000000"/>
          <w:rtl w:val="0"/>
        </w:rPr>
        <w:t xml:space="preserve">вивчення дисципліни «Основи технічного аналізу» є: 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Ознайомлення з основами технічного аналізу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Засвоєння методів кількісного технічного аналізу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Набуття навичок застосування титриметричних і гравіметричних методів у технічному аналізі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Вироблення умінь контролю екологічного стану довкілля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highlight w:val="yellow"/>
        </w:rPr>
      </w:pPr>
      <w:r w:rsidDel="00000000" w:rsidR="00000000" w:rsidRPr="00000000">
        <w:rPr>
          <w:color w:val="000000"/>
          <w:rtl w:val="0"/>
        </w:rPr>
        <w:t xml:space="preserve">5. Засвоєння фізичних методів технічного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 результаті вивчення навчальної дисципліни студент повинен </w:t>
      </w:r>
    </w:p>
    <w:bookmarkStart w:colFirst="0" w:colLast="0" w:name="bookmark=id.1fob9te" w:id="1"/>
    <w:bookmarkEnd w:id="1"/>
    <w:p w:rsidR="00000000" w:rsidDel="00000000" w:rsidP="00000000" w:rsidRDefault="00000000" w:rsidRPr="00000000" w14:paraId="00000080">
      <w:pPr>
        <w:keepNext w:val="1"/>
        <w:keepLines w:val="1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знати:</w:t>
      </w:r>
    </w:p>
    <w:p w:rsidR="00000000" w:rsidDel="00000000" w:rsidP="00000000" w:rsidRDefault="00000000" w:rsidRPr="00000000" w14:paraId="00000081">
      <w:pPr>
        <w:keepNext w:val="1"/>
        <w:keepLines w:val="1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color w:val="000000"/>
          <w:rtl w:val="0"/>
        </w:rPr>
        <w:t xml:space="preserve">труктуру, місце та значення технічного аналізу;</w:t>
      </w:r>
    </w:p>
    <w:p w:rsidR="00000000" w:rsidDel="00000000" w:rsidP="00000000" w:rsidRDefault="00000000" w:rsidRPr="00000000" w14:paraId="00000082">
      <w:pPr>
        <w:keepNext w:val="1"/>
        <w:keepLines w:val="1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color w:val="000000"/>
          <w:rtl w:val="0"/>
        </w:rPr>
        <w:t xml:space="preserve">етоди кількісного технічного аналізу;</w:t>
      </w:r>
    </w:p>
    <w:p w:rsidR="00000000" w:rsidDel="00000000" w:rsidP="00000000" w:rsidRDefault="00000000" w:rsidRPr="00000000" w14:paraId="00000083">
      <w:pPr>
        <w:keepNext w:val="1"/>
        <w:keepLines w:val="1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color w:val="000000"/>
          <w:rtl w:val="0"/>
        </w:rPr>
        <w:t xml:space="preserve">ринцип комплексонометричного титрування;</w:t>
      </w:r>
    </w:p>
    <w:p w:rsidR="00000000" w:rsidDel="00000000" w:rsidP="00000000" w:rsidRDefault="00000000" w:rsidRPr="00000000" w14:paraId="00000084">
      <w:pPr>
        <w:keepNext w:val="1"/>
        <w:keepLines w:val="1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color w:val="000000"/>
          <w:rtl w:val="0"/>
        </w:rPr>
        <w:t xml:space="preserve">сновні закони спектрофотометричного аналізу;</w:t>
      </w:r>
    </w:p>
    <w:p w:rsidR="00000000" w:rsidDel="00000000" w:rsidP="00000000" w:rsidRDefault="00000000" w:rsidRPr="00000000" w14:paraId="00000085">
      <w:pPr>
        <w:keepNext w:val="1"/>
        <w:keepLines w:val="1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color w:val="000000"/>
        </w:rPr>
      </w:pPr>
      <w:r w:rsidDel="00000000" w:rsidR="00000000" w:rsidRPr="00000000">
        <w:rPr>
          <w:highlight w:val="white"/>
          <w:rtl w:val="0"/>
        </w:rPr>
        <w:t xml:space="preserve">н</w:t>
      </w:r>
      <w:r w:rsidDel="00000000" w:rsidR="00000000" w:rsidRPr="00000000">
        <w:rPr>
          <w:color w:val="000000"/>
          <w:highlight w:val="white"/>
          <w:rtl w:val="0"/>
        </w:rPr>
        <w:t xml:space="preserve">ебезпечні складові, що забруднюють довкілля.</w:t>
      </w: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086">
      <w:pPr>
        <w:keepNext w:val="1"/>
        <w:keepLines w:val="1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вміти: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розв'язувати якісні та кількісні задачі технічного аналізу;</w:t>
      </w:r>
    </w:p>
    <w:p w:rsidR="00000000" w:rsidDel="00000000" w:rsidP="00000000" w:rsidRDefault="00000000" w:rsidRPr="00000000" w14:paraId="00000088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- застосовувати </w:t>
      </w:r>
      <w:r w:rsidDel="00000000" w:rsidR="00000000" w:rsidRPr="00000000">
        <w:rPr>
          <w:rtl w:val="0"/>
        </w:rPr>
        <w:t xml:space="preserve">методики оцінки концентраційної залежності, випадкової залежності результатів вимірів;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пояснювати закономірності і процеси протікання хімічних реакцій у технічному аналізі;</w:t>
      </w:r>
    </w:p>
    <w:p w:rsidR="00000000" w:rsidDel="00000000" w:rsidP="00000000" w:rsidRDefault="00000000" w:rsidRPr="00000000" w14:paraId="0000008A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- застосовувати </w:t>
      </w:r>
      <w:r w:rsidDel="00000000" w:rsidR="00000000" w:rsidRPr="00000000">
        <w:rPr>
          <w:highlight w:val="white"/>
          <w:rtl w:val="0"/>
        </w:rPr>
        <w:t xml:space="preserve">методи контролю: тестові, хімічні, спектрофотометричні, фізичні;</w:t>
      </w:r>
    </w:p>
    <w:p w:rsidR="00000000" w:rsidDel="00000000" w:rsidP="00000000" w:rsidRDefault="00000000" w:rsidRPr="00000000" w14:paraId="0000008B">
      <w:pPr>
        <w:ind w:firstLine="720"/>
        <w:jc w:val="both"/>
        <w:rPr/>
      </w:pPr>
      <w:r w:rsidDel="00000000" w:rsidR="00000000" w:rsidRPr="00000000">
        <w:rPr>
          <w:highlight w:val="white"/>
          <w:rtl w:val="0"/>
        </w:rPr>
        <w:t xml:space="preserve">- аналізувати і застосовувати </w:t>
      </w:r>
      <w:r w:rsidDel="00000000" w:rsidR="00000000" w:rsidRPr="00000000">
        <w:rPr>
          <w:rtl w:val="0"/>
        </w:rPr>
        <w:t xml:space="preserve">нормативну документацію, яка регламентує методи визначення похибок при проведенні хімічного аналізу. </w:t>
      </w:r>
    </w:p>
    <w:p w:rsidR="00000000" w:rsidDel="00000000" w:rsidP="00000000" w:rsidRDefault="00000000" w:rsidRPr="00000000" w14:paraId="0000008C">
      <w:pPr>
        <w:ind w:firstLine="720"/>
        <w:jc w:val="both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Згідно з вимогами освітньо-професійної програми студенти повинні досягти таких </w:t>
      </w:r>
      <w:r w:rsidDel="00000000" w:rsidR="00000000" w:rsidRPr="00000000">
        <w:rPr>
          <w:b w:val="1"/>
          <w:i w:val="1"/>
          <w:rtl w:val="0"/>
        </w:rPr>
        <w:t xml:space="preserve">компетентностей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3"/>
        <w:tblW w:w="9923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4536"/>
        <w:tblGridChange w:id="0">
          <w:tblGrid>
            <w:gridCol w:w="5387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Заплановані робочою програмою результати навчання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 компетентності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Методи і контрольні заходи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Результати навчання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Описувати хімічні дані у символьному вигляді (Р03)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Методи навчання: 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Словесний, наочний, дослідницький, пошуковий, проблемний, спостереження.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Контрольні заходи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Поточний контроль: </w:t>
            </w:r>
            <w:r w:rsidDel="00000000" w:rsidR="00000000" w:rsidRPr="00000000">
              <w:rPr>
                <w:rtl w:val="0"/>
              </w:rPr>
              <w:t xml:space="preserve">тестування, виконання завдань лабораторних занять.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Підсумковий контроль:</w:t>
            </w:r>
            <w:r w:rsidDel="00000000" w:rsidR="00000000" w:rsidRPr="00000000">
              <w:rPr>
                <w:rtl w:val="0"/>
              </w:rPr>
              <w:t xml:space="preserve"> виконання індивідуального практичного завдання, складання заліку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зв’язок між будовою та властивостями речовин (Р05)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Аналізувати та оцінювати дані, синтезувати нові ідеї, що стосуються хімії та її прикладних застосувань (Р13)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періодичний закон та періодичну систему елементів, описувати, пояснювати та передбачати властивості хімічних елементів та сполук на їх основі (Р6)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Знати принципи і процедури фізичних, хімічних, фізико-хімічних методів дослідження, типові обладнання та прилади (Р8)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Планувати та виконувати хімічний експеримент, застосовувати придатні методики та техніки приготування розчинів та реагентів (Р9)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експериментальну роботу з метою перевірки гіпотез та дослідження хімічних явищ і закономірностей (Р14)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Спроможність використовувати набуті знання та вміння для розрахунків, відображення та моделювання хімічних систем та процесів, обробки експериментальних даних (Р15)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Працювати самостійно або в групі, отримати результат у межах обмеженого часу з наголосом на професійну сумлінність та наукову доброчесність (Р17)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Інтерпретувати експериментально отримані дані та співвідносити їх з відповідними теоріями в хімії (Р20)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моніторинг та аналіз наукових джерел інформації та фахової літератури (Р21)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Обговорювати проблеми хімії та її прикладних застосувань з колегами та цільовою аудиторією державною та іноземною мовами (Р22)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Використовувати сучасні інформаційно-комунікаційні технології при спілкуванні, а також для збору, аналізу, обробки, інтерпретації даних (Р24)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Оцінювати та мінімізувати ризики для навколишнього середовища при здійсненні професійної діяльності (Р25)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Компетентності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2. Здатність вчитися і оволодівати сучасними знаннями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9. Прагнення до збереження навколишнього середовища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10. Здатність до пошуку, оброблення та аналізу інформації з різних джерел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11 Здатність бути критичним і самокритичним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14 Відкритість до застосування хімічних знань та вмінь в широкому діапазоні майбутніх місць роботи та в повсякденному житті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15 Здатність здійснювати математичні розрахунки, оцінку та аналіз помилок, правильно використовувати одиниці та способи представлення даних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6. Здатність оцінювати ризики.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7 Здатність здійснювати типові хімічні лабораторні дослідження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8 Здатність здійснювати кількісні вимірювання фізико-хімічних величин, описувати, аналізувати і критично оцінювати експериментальні дані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9 Здатність використовувати стандартне хімічне обладнання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10. Здатність до опанування нових областей хімії шляхом самостійного навчання.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11 Здатність формулювати етичні та соціальні проблеми, які стоять перед хімією, та здатність застосовувати етичні стандарти досліджень і професійної діяльності в галузі хімії (наукова доброчесність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12. Здатність використовувати хімічні поняття, факти, концепції, принципи і теорії, що стосуються природничих наук для забезпечення можливості вподальшому глибоко розуміти спеціалізовані області хімії.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Міждисциплінарні зв’язки: </w:t>
      </w:r>
      <w:r w:rsidDel="00000000" w:rsidR="00000000" w:rsidRPr="00000000">
        <w:rPr>
          <w:color w:val="000000"/>
          <w:rtl w:val="0"/>
        </w:rPr>
        <w:t xml:space="preserve">вивчення курсу «Основи технічного аналізу» забезпечують навчальні дисципліни «Неорганічна хімія», «Техніка експерименту», «Аналітична хімія», «Органічна хімія».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Дисципліна «Основи технічного аналізу» пов’язана з циклом дисциплін професійної підготовки освітньої програми «Хімія». Знання отримані під час вивчення курсу «Основи технічного аналізу» забезпечують успішність проходження виробничої практики.</w:t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Програма навчальної дисципліни</w:t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tyjcwt" w:id="4"/>
    <w:bookmarkEnd w:id="4"/>
    <w:p w:rsidR="00000000" w:rsidDel="00000000" w:rsidP="00000000" w:rsidRDefault="00000000" w:rsidRPr="00000000" w14:paraId="000000D8">
      <w:pPr>
        <w:ind w:firstLine="72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Змістовий модуль 1 </w:t>
      </w:r>
      <w:r w:rsidDel="00000000" w:rsidR="00000000" w:rsidRPr="00000000">
        <w:rPr>
          <w:i w:val="1"/>
          <w:rtl w:val="0"/>
        </w:rPr>
        <w:t xml:space="preserve">Тема 1 Вступ. Предмет та задачі технічного аналізу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Структура, місце та значення технічного аналізу, зв’язок з практикою. Сучасний стан та тенденції розвитку технічного аналізу: впровадження інструментального аналізу, автоматизація, математизація, збільшення в контролі фізичних методів. Основні аналітичні проблеми: розробка еталонів, повірка мір та засобів вимірів, розробка еталонів на основі фізичних констант, підвищення точності методів та вибірковості.</w:t>
      </w:r>
    </w:p>
    <w:p w:rsidR="00000000" w:rsidDel="00000000" w:rsidP="00000000" w:rsidRDefault="00000000" w:rsidRPr="00000000" w14:paraId="000000DA">
      <w:pPr>
        <w:ind w:firstLine="72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Змістовий модуль 2</w:t>
      </w:r>
      <w:r w:rsidDel="00000000" w:rsidR="00000000" w:rsidRPr="00000000">
        <w:rPr>
          <w:i w:val="1"/>
          <w:rtl w:val="0"/>
        </w:rPr>
        <w:t xml:space="preserve"> Тема 2</w:t>
      </w:r>
      <w:r w:rsidDel="00000000" w:rsidR="00000000" w:rsidRPr="00000000">
        <w:rPr>
          <w:i w:val="1"/>
          <w:u w:val="singl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Методи кількісного технічного аналізу</w:t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Гравіметричний аналіз. Пряме і непряме визначення. Загальна схема визначення Силіцію та Нікелю у сталях, лігатурах, сплавах на основі Алюмінію, Титану. Вимоги до гравіметричної форми осаду.  Як змінюється склад осаду при прожарюванні. Систематична похибка. </w:t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Змістовий модуль 3 </w:t>
      </w:r>
      <w:r w:rsidDel="00000000" w:rsidR="00000000" w:rsidRPr="00000000">
        <w:rPr>
          <w:i w:val="1"/>
          <w:color w:val="000000"/>
          <w:rtl w:val="0"/>
        </w:rPr>
        <w:t xml:space="preserve">Тема 3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Титриметричні методи технічного аналізу.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20"/>
        <w:jc w:val="both"/>
        <w:rPr>
          <w:color w:val="000000"/>
        </w:rPr>
      </w:pPr>
      <w:bookmarkStart w:colFirst="0" w:colLast="0" w:name="_heading=h.3dy6vkm" w:id="5"/>
      <w:bookmarkEnd w:id="5"/>
      <w:r w:rsidDel="00000000" w:rsidR="00000000" w:rsidRPr="00000000">
        <w:rPr>
          <w:color w:val="000000"/>
          <w:rtl w:val="0"/>
        </w:rPr>
        <w:t xml:space="preserve"> Кислотно-основне титрування. Вибір індикатора для титрування, вплив рН на результати аналізу. Визначення Бору та Нітрогену в сталях, чистих металах та сплавах. Проведення визначення похибок методик аналізу за однією серією експериментальних вимірів. Методики оцінки концентраційної залежності, випадкової залежності результатів вимірів. Порівняння результатів вимірів з методом потенціометричного титрування.  Значуща та незначуща відмінність. Нормативна документація, яка регламентує методи визначення похибок при проведенні хімічного аналізу. </w:t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Тема 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Комплексонометричне титрування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Принцип комплексонометричного титрування. Властивості трилона Б. Металохромні індикатори, вимоги до індикаторів у комплекснометричному титруванні. Пряме і зворотнє титрування, межі їх використання. Селективність при використанні титранта Трилона Б. Похибки титрування при визначенні Алюмінію, Купруму, Нікелю. Визначенні Алюмінію, Купруму, Нікелю як основної речовини у чистих солях, похибки вимірювань та методи їх зниження. Методи стандартизації титранту. </w:t>
      </w:r>
    </w:p>
    <w:bookmarkStart w:colFirst="0" w:colLast="0" w:name="bookmark=id.1t3h5sf" w:id="6"/>
    <w:bookmarkEnd w:id="6"/>
    <w:p w:rsidR="00000000" w:rsidDel="00000000" w:rsidP="00000000" w:rsidRDefault="00000000" w:rsidRPr="00000000" w14:paraId="000000E0">
      <w:pPr>
        <w:ind w:firstLine="72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Змістовий модуль 4</w:t>
      </w:r>
      <w:r w:rsidDel="00000000" w:rsidR="00000000" w:rsidRPr="00000000">
        <w:rPr>
          <w:i w:val="1"/>
          <w:rtl w:val="0"/>
        </w:rPr>
        <w:t xml:space="preserve"> Тема 5 Оптичні методи технічного аналізу </w:t>
      </w:r>
    </w:p>
    <w:p w:rsidR="00000000" w:rsidDel="00000000" w:rsidP="00000000" w:rsidRDefault="00000000" w:rsidRPr="00000000" w14:paraId="000000E1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Спектрофотометричний метод. Основні закони спектрофотометричного аналізу. Реакції, що використовують у спектрофотометричному аналізі. Органічні реагенти, умови утворення забарвлених комплексів. Вибір оптимальних умов утворення роданідного комплексу з Вольфрамом та Молібденом, заважаючий вплив Ванадію(IV). Методи підвищення точності визначення Вольфраму в присутності Ванадію. Методи градуювання та підвищення точності вимірів Вольфраму та Молібдену. Принцип методу компенсації у спектрофотометричному методі.</w:t>
      </w:r>
    </w:p>
    <w:p w:rsidR="00000000" w:rsidDel="00000000" w:rsidP="00000000" w:rsidRDefault="00000000" w:rsidRPr="00000000" w14:paraId="000000E2">
      <w:pPr>
        <w:ind w:firstLine="72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Змістовий модуль 5 </w:t>
      </w:r>
      <w:r w:rsidDel="00000000" w:rsidR="00000000" w:rsidRPr="00000000">
        <w:rPr>
          <w:i w:val="1"/>
          <w:rtl w:val="0"/>
        </w:rPr>
        <w:t xml:space="preserve">Тема 6 </w:t>
      </w:r>
      <w:r w:rsidDel="00000000" w:rsidR="00000000" w:rsidRPr="00000000">
        <w:rPr>
          <w:i w:val="1"/>
          <w:highlight w:val="white"/>
          <w:rtl w:val="0"/>
        </w:rPr>
        <w:t xml:space="preserve">Методи контролю екологічного стану довкілля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firstLine="720"/>
        <w:jc w:val="both"/>
        <w:rPr>
          <w:highlight w:val="white"/>
        </w:rPr>
      </w:pPr>
      <w:bookmarkStart w:colFirst="0" w:colLast="0" w:name="_heading=h.4d34og8" w:id="7"/>
      <w:bookmarkEnd w:id="7"/>
      <w:r w:rsidDel="00000000" w:rsidR="00000000" w:rsidRPr="00000000">
        <w:rPr>
          <w:highlight w:val="white"/>
          <w:rtl w:val="0"/>
        </w:rPr>
        <w:t xml:space="preserve">Основні об’єкти забруднення: атмосферне повітря, вода, грунт. Небезпечні складові, що забруднюють довкілля: важкі метали, нафтопродукти, пестициди, їх вплив на стан довкілля, живі істоти та людину. Методи контролю: тестові, хімічні, спектрофотометричні, фізичні. Визначення вмісту нафтопродуктів у зливних водах підприємств: спектрофотометрія в УФ-області спектру, флуориметрія, їх можливості та обмеження. Газова хроматографія. Визначення залпових викидів тестовими методами. </w:t>
      </w:r>
      <w:r w:rsidDel="00000000" w:rsidR="00000000" w:rsidRPr="00000000">
        <w:rPr>
          <w:rtl w:val="0"/>
        </w:rPr>
        <w:t xml:space="preserve">Методи атомно-абсорбційної спектрофотометрії в контролі довкілля, принципи і обмеження. Методи пробовідбору зразків води, ґрунту, повітря. ГДК забруднюючих складових.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72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Змістовий модуль 6 </w:t>
      </w:r>
      <w:r w:rsidDel="00000000" w:rsidR="00000000" w:rsidRPr="00000000">
        <w:rPr>
          <w:i w:val="1"/>
          <w:rtl w:val="0"/>
        </w:rPr>
        <w:t xml:space="preserve">Тема 7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Фізичні методи технічного аналізу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Емісійний спектральний аналіз. Джерела збудження спектрів. Об’єкти аналізу. Рентгенофлуоресцентний аналіз.  Локальний спектральний аналіз, дослідження дефектів структури та форм знаходження шкідливих домішок в структурі сплавів.</w:t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62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62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Структура навчальної дисципліни</w:t>
      </w:r>
    </w:p>
    <w:tbl>
      <w:tblPr>
        <w:tblStyle w:val="Table4"/>
        <w:tblW w:w="10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9"/>
        <w:gridCol w:w="901"/>
        <w:gridCol w:w="851"/>
        <w:gridCol w:w="712"/>
        <w:gridCol w:w="713"/>
        <w:gridCol w:w="567"/>
        <w:gridCol w:w="701"/>
        <w:gridCol w:w="8"/>
        <w:gridCol w:w="708"/>
        <w:gridCol w:w="699"/>
        <w:gridCol w:w="921"/>
        <w:gridCol w:w="999"/>
        <w:gridCol w:w="1074"/>
        <w:tblGridChange w:id="0">
          <w:tblGrid>
            <w:gridCol w:w="1639"/>
            <w:gridCol w:w="901"/>
            <w:gridCol w:w="851"/>
            <w:gridCol w:w="712"/>
            <w:gridCol w:w="713"/>
            <w:gridCol w:w="567"/>
            <w:gridCol w:w="701"/>
            <w:gridCol w:w="8"/>
            <w:gridCol w:w="708"/>
            <w:gridCol w:w="699"/>
            <w:gridCol w:w="921"/>
            <w:gridCol w:w="999"/>
            <w:gridCol w:w="107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Змістовий модуль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годин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Аудиторні (контактні) години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Самостійна робота, год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 накопичення балів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годин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Лекційні 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заняття, год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Лабораторні заняття, год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Теор.</w:t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Лаб.</w:t>
            </w:r>
          </w:p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о/дф.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о/дф.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206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за змістові модулі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1492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Підсумковий семестровий контроль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залік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Загалом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62"/>
        </w:tabs>
        <w:rPr>
          <w:b w:val="1"/>
          <w:color w:val="000000"/>
        </w:rPr>
        <w:sectPr>
          <w:footerReference r:id="rId7" w:type="default"/>
          <w:pgSz w:h="16840" w:w="11910" w:orient="portrait"/>
          <w:pgMar w:bottom="1240" w:top="1040" w:left="820" w:right="580" w:header="0" w:footer="105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92"/>
        </w:tabs>
        <w:spacing w:before="71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Теми лекційних занять</w:t>
      </w:r>
    </w:p>
    <w:p w:rsidR="00000000" w:rsidDel="00000000" w:rsidP="00000000" w:rsidRDefault="00000000" w:rsidRPr="00000000" w14:paraId="000001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3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2.000000000002" w:type="dxa"/>
        <w:jc w:val="left"/>
        <w:tblInd w:w="4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6957"/>
        <w:gridCol w:w="1137"/>
        <w:gridCol w:w="1132"/>
        <w:tblGridChange w:id="0">
          <w:tblGrid>
            <w:gridCol w:w="696"/>
            <w:gridCol w:w="6957"/>
            <w:gridCol w:w="1137"/>
            <w:gridCol w:w="1132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="242" w:lineRule="auto"/>
              <w:ind w:left="201" w:right="175" w:firstLine="28.0000000000000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з/п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6" w:right="287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Назва теми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32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27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денна</w:t>
            </w:r>
          </w:p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24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форма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22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заочна</w:t>
            </w:r>
          </w:p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23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форма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Вступ. Предмет та задачі технічного аналізу</w:t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Методи кількісного технічного аналізу</w:t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</w:tr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709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Титриметричні методи технічного аналізу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0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Комплексонометричне титрування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Оптичні методи технічного аналізу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709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Методи контролю екологічного стану довкілля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Фізичні методи технічного аналізу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right="49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Разом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right="437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89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Теми лабораторних занять</w:t>
      </w:r>
    </w:p>
    <w:p w:rsidR="00000000" w:rsidDel="00000000" w:rsidP="00000000" w:rsidRDefault="00000000" w:rsidRPr="00000000" w14:paraId="000001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8.0" w:type="dxa"/>
        <w:jc w:val="left"/>
        <w:tblInd w:w="4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2"/>
        <w:gridCol w:w="6921"/>
        <w:gridCol w:w="1181"/>
        <w:gridCol w:w="1134"/>
        <w:tblGridChange w:id="0">
          <w:tblGrid>
            <w:gridCol w:w="692"/>
            <w:gridCol w:w="6921"/>
            <w:gridCol w:w="1181"/>
            <w:gridCol w:w="1134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42" w:lineRule="auto"/>
              <w:ind w:left="201" w:right="171" w:firstLine="28.0000000000000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з/п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90" w:right="287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Назва теми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3" w:lineRule="auto"/>
              <w:ind w:left="32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27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денна</w:t>
            </w:r>
          </w:p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1" w:lineRule="auto"/>
              <w:ind w:left="23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форма</w:t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21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заочна</w:t>
            </w:r>
          </w:p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1" w:lineRule="auto"/>
              <w:ind w:left="23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форма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1" w:lineRule="auto"/>
              <w:ind w:left="6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Вивчення методів пробовідбору зливних вод машинобудівного підприємства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right="49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02"/>
                <w:tab w:val="left" w:leader="none" w:pos="3864"/>
                <w:tab w:val="left" w:leader="none" w:pos="5433"/>
                <w:tab w:val="left" w:leader="none" w:pos="6605"/>
              </w:tabs>
              <w:spacing w:before="7" w:line="274" w:lineRule="auto"/>
              <w:ind w:left="61" w:right="9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Проведення досліджень по визначенню Бору методом кислотно-лужного титрування. Проведення дослідів по визначенню Купруму йодометричним титруванням</w:t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9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6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Визначення Алюмінію в сплавах зворотнім , Нікелю –</w:t>
            </w:r>
          </w:p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6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прямим комплексонометричним методом в чистих солях</w:t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right="44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1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Проведення дослідів по визначенню важких металів фото колориметричним методом з реагентами ортофенантролін,   дитизон в зливних водах машинобудівних підприємств. Вибірметоду для контролю правильності результатів аналізу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center"/>
              <w:rPr>
                <w:b w:val="1"/>
                <w:color w:val="00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9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97"/>
                <w:tab w:val="left" w:leader="none" w:pos="1401"/>
                <w:tab w:val="left" w:leader="none" w:pos="3314"/>
                <w:tab w:val="left" w:leader="none" w:pos="5976"/>
              </w:tabs>
              <w:spacing w:line="268" w:lineRule="auto"/>
              <w:ind w:left="6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Ознайомлення з рентгеноспектральним методом визначення хімічного складу зливків ливарних сплавів на приладах фізичного факультету</w:t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9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97"/>
                <w:tab w:val="left" w:leader="none" w:pos="1401"/>
                <w:tab w:val="left" w:leader="none" w:pos="3314"/>
                <w:tab w:val="left" w:leader="none" w:pos="5976"/>
              </w:tabs>
              <w:spacing w:line="268" w:lineRule="auto"/>
              <w:ind w:left="6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left="10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Разом</w:t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right="441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right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32"/>
        </w:tabs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3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1"/>
        </w:rPr>
        <w:sectPr>
          <w:type w:val="nextPage"/>
          <w:pgSz w:h="16840" w:w="11910" w:orient="portrait"/>
          <w:pgMar w:bottom="1240" w:top="1120" w:left="820" w:right="580" w:header="0" w:footer="1056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Види  і зміст поточних контрольних заходів</w:t>
      </w:r>
    </w:p>
    <w:p w:rsidR="00000000" w:rsidDel="00000000" w:rsidP="00000000" w:rsidRDefault="00000000" w:rsidRPr="00000000" w14:paraId="000001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1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0"/>
        <w:gridCol w:w="2942"/>
        <w:gridCol w:w="4460"/>
        <w:gridCol w:w="4528"/>
        <w:gridCol w:w="951"/>
        <w:tblGridChange w:id="0">
          <w:tblGrid>
            <w:gridCol w:w="1730"/>
            <w:gridCol w:w="2942"/>
            <w:gridCol w:w="4460"/>
            <w:gridCol w:w="4528"/>
            <w:gridCol w:w="9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 змістового модуля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 поточного контрольного заходу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Зміст поточного контрольного заходу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**Критерії оцінювання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№1</w:t>
            </w:r>
          </w:p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Теоретична частина</w:t>
            </w:r>
          </w:p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Питання і завдання для виконання:</w:t>
            </w:r>
          </w:p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 Для чого застосовують технічний аналіз?</w:t>
            </w:r>
          </w:p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 Які існують види технічного аналізу?</w:t>
            </w:r>
          </w:p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 Яка суть арбітражного аналізу?</w:t>
            </w:r>
          </w:p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Які методи переважно використовують в технічному аналізі?</w:t>
            </w:r>
          </w:p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В чому полягає автоматизація аналізу?</w:t>
            </w:r>
          </w:p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Як проводять відбір середньої проби листової сталі?</w:t>
            </w:r>
          </w:p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Як проводять відбір проби, якщо сплав однорідний за складом? </w:t>
            </w:r>
          </w:p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Які існують методи для відбору проби повітря в робочій зоні?</w:t>
            </w:r>
          </w:p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 Які тари можна використовувати для зберігання проб?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 – 3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2,5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2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неточності.</w:t>
            </w:r>
          </w:p>
          <w:p w:rsidR="00000000" w:rsidDel="00000000" w:rsidP="00000000" w:rsidRDefault="00000000" w:rsidRPr="00000000" w14:paraId="0000022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 – </w:t>
            </w:r>
            <w:r w:rsidDel="00000000" w:rsidR="00000000" w:rsidRPr="00000000">
              <w:rPr>
                <w:rtl w:val="0"/>
              </w:rPr>
              <w:t xml:space="preserve">здобувач освіти отримає за відповідь менше ніж 30%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2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Лабораторна робота № 1. </w:t>
            </w:r>
          </w:p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і задач лабораторної роботи.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практичного заняття, </w:t>
            </w:r>
          </w:p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3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4 бали</w:t>
            </w:r>
          </w:p>
          <w:p w:rsidR="00000000" w:rsidDel="00000000" w:rsidP="00000000" w:rsidRDefault="00000000" w:rsidRPr="00000000" w14:paraId="000002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Усього за ЗМ 1 КЗ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№2</w:t>
            </w:r>
          </w:p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Теоретична частина</w:t>
            </w:r>
          </w:p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Письмова відповідь на питання і завдання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Питання і завдання для виконання:</w:t>
            </w:r>
          </w:p>
          <w:p w:rsidR="00000000" w:rsidDel="00000000" w:rsidP="00000000" w:rsidRDefault="00000000" w:rsidRPr="00000000" w14:paraId="000002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 В чому полягає суть гравіметричного аналізу?</w:t>
            </w:r>
          </w:p>
          <w:p w:rsidR="00000000" w:rsidDel="00000000" w:rsidP="00000000" w:rsidRDefault="00000000" w:rsidRPr="00000000" w14:paraId="000002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 Які існують методи гравіметричного аналізу?</w:t>
            </w:r>
          </w:p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 Які переваги гравіметричного аналізу?</w:t>
            </w:r>
          </w:p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 Які основні характеристики методу відгонки?</w:t>
            </w:r>
          </w:p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 Що таке пряме та непряме визначення?</w:t>
            </w:r>
          </w:p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 Що спільного у схемах визначення Нікелю та Силіцію у сплавах?</w:t>
            </w:r>
          </w:p>
          <w:p w:rsidR="00000000" w:rsidDel="00000000" w:rsidP="00000000" w:rsidRDefault="00000000" w:rsidRPr="00000000" w14:paraId="000002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Як осаджують аморфні осади?</w:t>
            </w:r>
          </w:p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 Які фільтри використовуються у гравіметричному аналізі?</w:t>
            </w:r>
          </w:p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 Що таке вагова форма?</w:t>
            </w:r>
          </w:p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 Для чого потрібно промивати осад?</w:t>
            </w:r>
          </w:p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 – 3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2,5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неточності.</w:t>
            </w:r>
          </w:p>
          <w:p w:rsidR="00000000" w:rsidDel="00000000" w:rsidP="00000000" w:rsidRDefault="00000000" w:rsidRPr="00000000" w14:paraId="0000026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 – </w:t>
            </w:r>
            <w:r w:rsidDel="00000000" w:rsidR="00000000" w:rsidRPr="00000000">
              <w:rPr>
                <w:rtl w:val="0"/>
              </w:rPr>
              <w:t xml:space="preserve">здобувач освіти отримає за відповідь менше ніж 30%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Лабораторна робота № 2. </w:t>
            </w:r>
          </w:p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і задач лабораторної роботи.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4 бали</w:t>
            </w:r>
          </w:p>
          <w:p w:rsidR="00000000" w:rsidDel="00000000" w:rsidP="00000000" w:rsidRDefault="00000000" w:rsidRPr="00000000" w14:paraId="0000027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2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№3</w:t>
            </w:r>
          </w:p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Теоретична частина</w:t>
            </w:r>
          </w:p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Письмова відповідь на питання і завдання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Питання і завдання для виконання:</w:t>
            </w:r>
          </w:p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 Що таке похибка вимірювання?</w:t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 Яка основна мета атестації методики виконання вимірювань?</w:t>
            </w:r>
          </w:p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 Що таке титрант?</w:t>
            </w:r>
          </w:p>
          <w:p w:rsidR="00000000" w:rsidDel="00000000" w:rsidP="00000000" w:rsidRDefault="00000000" w:rsidRPr="00000000" w14:paraId="0000028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 Що таке рН-індикатори?</w:t>
            </w:r>
          </w:p>
          <w:p w:rsidR="00000000" w:rsidDel="00000000" w:rsidP="00000000" w:rsidRDefault="00000000" w:rsidRPr="00000000" w14:paraId="0000029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Наведіть приклади кислотно-основних індикаторів.</w:t>
            </w:r>
          </w:p>
          <w:p w:rsidR="00000000" w:rsidDel="00000000" w:rsidP="00000000" w:rsidRDefault="00000000" w:rsidRPr="00000000" w14:paraId="0000029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 Що таке ауксохроми?</w:t>
            </w:r>
          </w:p>
          <w:p w:rsidR="00000000" w:rsidDel="00000000" w:rsidP="00000000" w:rsidRDefault="00000000" w:rsidRPr="00000000" w14:paraId="0000029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 Що таке показник титрування (рТ)?</w:t>
            </w:r>
          </w:p>
          <w:p w:rsidR="00000000" w:rsidDel="00000000" w:rsidP="00000000" w:rsidRDefault="00000000" w:rsidRPr="00000000" w14:paraId="0000029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 Що таке інтервал переходу забарвлення індикатора?</w:t>
            </w:r>
          </w:p>
          <w:p w:rsidR="00000000" w:rsidDel="00000000" w:rsidP="00000000" w:rsidRDefault="00000000" w:rsidRPr="00000000" w14:paraId="0000029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 Назвіть правило вибору індикатора в методі кислотно-основного титрування.</w:t>
            </w:r>
          </w:p>
          <w:p w:rsidR="00000000" w:rsidDel="00000000" w:rsidP="00000000" w:rsidRDefault="00000000" w:rsidRPr="00000000" w14:paraId="0000029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Напишіть реакцію Fe</w:t>
            </w:r>
            <w:r w:rsidDel="00000000" w:rsidR="00000000" w:rsidRPr="00000000">
              <w:rPr>
                <w:vertAlign w:val="superscript"/>
                <w:rtl w:val="0"/>
              </w:rPr>
              <w:t xml:space="preserve">3+ </w:t>
            </w:r>
            <w:r w:rsidDel="00000000" w:rsidR="00000000" w:rsidRPr="00000000">
              <w:rPr>
                <w:rtl w:val="0"/>
              </w:rPr>
              <w:t xml:space="preserve">з сульфосаліціловою кислотою (C</w:t>
            </w:r>
            <w:r w:rsidDel="00000000" w:rsidR="00000000" w:rsidRPr="00000000">
              <w:rPr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H</w:t>
            </w:r>
            <w:r w:rsidDel="00000000" w:rsidR="00000000" w:rsidRPr="00000000">
              <w:rPr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S · 2H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O) при рН=4-8.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11. </w:t>
            </w:r>
            <w:r w:rsidDel="00000000" w:rsidR="00000000" w:rsidRPr="00000000">
              <w:rPr>
                <w:rtl w:val="0"/>
              </w:rPr>
              <w:t xml:space="preserve">Напишіть реакцію Fe</w:t>
            </w:r>
            <w:r w:rsidDel="00000000" w:rsidR="00000000" w:rsidRPr="00000000">
              <w:rPr>
                <w:vertAlign w:val="superscript"/>
                <w:rtl w:val="0"/>
              </w:rPr>
              <w:t xml:space="preserve">3+ </w:t>
            </w:r>
            <w:r w:rsidDel="00000000" w:rsidR="00000000" w:rsidRPr="00000000">
              <w:rPr>
                <w:rtl w:val="0"/>
              </w:rPr>
              <w:t xml:space="preserve">з сульфосаліціловою кислотою (C</w:t>
            </w:r>
            <w:r w:rsidDel="00000000" w:rsidR="00000000" w:rsidRPr="00000000">
              <w:rPr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H</w:t>
            </w:r>
            <w:r w:rsidDel="00000000" w:rsidR="00000000" w:rsidRPr="00000000">
              <w:rPr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S · 2H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O) при рН=8-11.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 – 3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9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2,5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неточності.</w:t>
            </w:r>
          </w:p>
          <w:p w:rsidR="00000000" w:rsidDel="00000000" w:rsidP="00000000" w:rsidRDefault="00000000" w:rsidRPr="00000000" w14:paraId="0000029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 – </w:t>
            </w:r>
            <w:r w:rsidDel="00000000" w:rsidR="00000000" w:rsidRPr="00000000">
              <w:rPr>
                <w:rtl w:val="0"/>
              </w:rPr>
              <w:t xml:space="preserve">здобувач освіти отримає за відповідь менше ніж 30%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Лабораторна робота № 3. </w:t>
            </w:r>
          </w:p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і задач лабораторної роботи.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2A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4 бали</w:t>
            </w:r>
          </w:p>
          <w:p w:rsidR="00000000" w:rsidDel="00000000" w:rsidP="00000000" w:rsidRDefault="00000000" w:rsidRPr="00000000" w14:paraId="000002A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3 КЗ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B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№4</w:t>
            </w:r>
          </w:p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Теоретична частина</w:t>
            </w:r>
          </w:p>
          <w:p w:rsidR="00000000" w:rsidDel="00000000" w:rsidP="00000000" w:rsidRDefault="00000000" w:rsidRPr="00000000" w14:paraId="000002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Питання і завдання для виконання:</w:t>
            </w:r>
          </w:p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1. Який метод титрування називається комплексонометричним? Які речовини можна визначати цим методом?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2. Які органічні реактиви називаються комплексонами?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 Що таке трилон Б? Якими характерними властивостями володіють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комплексні сполуки катіонів металів з ЕДТА?</w:t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5505"/>
              </w:tabs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 Коли використовують зворотне титрування?</w:t>
            </w:r>
          </w:p>
          <w:p w:rsidR="00000000" w:rsidDel="00000000" w:rsidP="00000000" w:rsidRDefault="00000000" w:rsidRPr="00000000" w14:paraId="000002CA">
            <w:pPr>
              <w:tabs>
                <w:tab w:val="left" w:leader="none" w:pos="5505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5. </w:t>
            </w:r>
            <w:r w:rsidDel="00000000" w:rsidR="00000000" w:rsidRPr="00000000">
              <w:rPr>
                <w:highlight w:val="white"/>
                <w:rtl w:val="0"/>
              </w:rPr>
              <w:t xml:space="preserve">Яких умов необхідно дотримуватися при комплексонометричному титруванні? Які буферні розчини часто застосовуються в цьому методі?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505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Як проходить фіксування кінцевої точки титрування?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 – 3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2,5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неточності.</w:t>
            </w:r>
          </w:p>
          <w:p w:rsidR="00000000" w:rsidDel="00000000" w:rsidP="00000000" w:rsidRDefault="00000000" w:rsidRPr="00000000" w14:paraId="000002D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 – </w:t>
            </w:r>
            <w:r w:rsidDel="00000000" w:rsidR="00000000" w:rsidRPr="00000000">
              <w:rPr>
                <w:rtl w:val="0"/>
              </w:rPr>
              <w:t xml:space="preserve">здобувач освіти отримає за відповідь менше ніж 30%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Лабораторна робота № 4. </w:t>
            </w:r>
          </w:p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і задач лабораторної роботи.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D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4 бали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4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E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№5</w:t>
            </w:r>
          </w:p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Теоретична частина</w:t>
            </w:r>
          </w:p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Питання і завдання для виконання:</w:t>
            </w:r>
          </w:p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1. Що визначає ЕПР метод?</w:t>
            </w:r>
          </w:p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 На чому ґрунтується спектрофотометричний метод?</w:t>
            </w:r>
          </w:p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 Що таке ІЧ-спектроскопія?</w:t>
            </w:r>
          </w:p>
          <w:p w:rsidR="00000000" w:rsidDel="00000000" w:rsidP="00000000" w:rsidRDefault="00000000" w:rsidRPr="00000000" w14:paraId="000002EE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4. 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Що визначає ренгенофолоуресцентний аналіз?</w:t>
            </w:r>
          </w:p>
          <w:p w:rsidR="00000000" w:rsidDel="00000000" w:rsidP="00000000" w:rsidRDefault="00000000" w:rsidRPr="00000000" w14:paraId="000002E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5. За рахунок чого відбувається </w:t>
            </w:r>
            <w:r w:rsidDel="00000000" w:rsidR="00000000" w:rsidRPr="00000000">
              <w:rPr>
                <w:color w:val="000000"/>
                <w:rtl w:val="0"/>
              </w:rPr>
              <w:t xml:space="preserve">адсорбція іонів токсичних металів на хімічно модифікованому силікагелі?</w:t>
            </w:r>
          </w:p>
          <w:p w:rsidR="00000000" w:rsidDel="00000000" w:rsidP="00000000" w:rsidRDefault="00000000" w:rsidRPr="00000000" w14:paraId="000002F0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 Що потрібно, щоб</w:t>
            </w:r>
            <w:r w:rsidDel="00000000" w:rsidR="00000000" w:rsidRPr="00000000">
              <w:rPr>
                <w:rtl w:val="0"/>
              </w:rPr>
              <w:t xml:space="preserve"> органічна сполука могла виступати в ролі органічного реагенту?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 Що повинні утворювати </w:t>
            </w:r>
            <w:r w:rsidDel="00000000" w:rsidR="00000000" w:rsidRPr="00000000">
              <w:rPr>
                <w:rtl w:val="0"/>
              </w:rPr>
              <w:t xml:space="preserve">металохромні індикатори з катіонами металів?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  Що таке люмінесценція?</w:t>
            </w:r>
          </w:p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 Які існують види люмінесценції?</w:t>
            </w:r>
          </w:p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У чому суть закону Вавілова?</w:t>
            </w:r>
          </w:p>
          <w:p w:rsidR="00000000" w:rsidDel="00000000" w:rsidP="00000000" w:rsidRDefault="00000000" w:rsidRPr="00000000" w14:paraId="000002F5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tabs>
                <w:tab w:val="left" w:leader="none" w:pos="2124"/>
                <w:tab w:val="left" w:leader="none" w:pos="2832"/>
                <w:tab w:val="left" w:leader="none" w:pos="3540"/>
                <w:tab w:val="left" w:leader="none" w:pos="3977"/>
                <w:tab w:val="center" w:leader="none" w:pos="4734"/>
                <w:tab w:val="left" w:leader="none" w:pos="5297"/>
                <w:tab w:val="left" w:leader="none" w:pos="5606"/>
                <w:tab w:val="left" w:leader="none" w:pos="6429"/>
                <w:tab w:val="left" w:leader="none" w:pos="79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 – 3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2,5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F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неточності.</w:t>
            </w:r>
          </w:p>
          <w:p w:rsidR="00000000" w:rsidDel="00000000" w:rsidP="00000000" w:rsidRDefault="00000000" w:rsidRPr="00000000" w14:paraId="000002F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 – </w:t>
            </w:r>
            <w:r w:rsidDel="00000000" w:rsidR="00000000" w:rsidRPr="00000000">
              <w:rPr>
                <w:rtl w:val="0"/>
              </w:rPr>
              <w:t xml:space="preserve">здобувач освіти отримає за відповідь менше ніж 30%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78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Лабораторна робота № 5. </w:t>
            </w:r>
          </w:p>
          <w:p w:rsidR="00000000" w:rsidDel="00000000" w:rsidP="00000000" w:rsidRDefault="00000000" w:rsidRPr="00000000" w14:paraId="000002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і задач лабораторної роботи.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30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0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0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4 бали</w:t>
            </w:r>
          </w:p>
          <w:p w:rsidR="00000000" w:rsidDel="00000000" w:rsidP="00000000" w:rsidRDefault="00000000" w:rsidRPr="00000000" w14:paraId="0000030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5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 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5 балів</w:t>
            </w:r>
          </w:p>
          <w:p w:rsidR="00000000" w:rsidDel="00000000" w:rsidP="00000000" w:rsidRDefault="00000000" w:rsidRPr="00000000" w14:paraId="000003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6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1-6</w:t>
            </w:r>
          </w:p>
          <w:p w:rsidR="00000000" w:rsidDel="00000000" w:rsidP="00000000" w:rsidRDefault="00000000" w:rsidRPr="00000000" w14:paraId="000003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контр.заходів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3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    Підсумковий семестровий контроль***</w:t>
      </w:r>
    </w:p>
    <w:tbl>
      <w:tblPr>
        <w:tblStyle w:val="Table8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9"/>
        <w:gridCol w:w="1730"/>
        <w:gridCol w:w="5386"/>
        <w:gridCol w:w="5074"/>
        <w:gridCol w:w="1021"/>
        <w:tblGridChange w:id="0">
          <w:tblGrid>
            <w:gridCol w:w="1519"/>
            <w:gridCol w:w="1730"/>
            <w:gridCol w:w="5386"/>
            <w:gridCol w:w="5074"/>
            <w:gridCol w:w="1021"/>
          </w:tblGrid>
        </w:tblGridChange>
      </w:tblGrid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Форма 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Види підсумкових контрольних заходів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Зміст підсумкового контрольного заходу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Критерії оцінювання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ind w:left="113" w:right="11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Залік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firstLine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Індивідуальні дослідницькі завдання повинні містити аналіз сучасного стану обраного питання. Виконується у вигляді доповіді і презентації. Обсяг доповіді ІДЗ повинен бути розрахований на 7-10 хв. Доповідь повинна складатись зі вступу, в якому висвітлена актуальність, мета дослідження, завдання, об'єкт та предмет (1-2 хв.) повне висвітлення питань, висновки та додається список використаних джерел. Презентація ІДЗ повинна містити таблиці, графіки та рисунки та складатись з 15-20 слайдів.</w:t>
            </w:r>
          </w:p>
          <w:p w:rsidR="00000000" w:rsidDel="00000000" w:rsidP="00000000" w:rsidRDefault="00000000" w:rsidRPr="00000000" w14:paraId="000003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ІДЗ повинно бути виконано протягом семестру та представлено до захисту до початку залікового тижня. </w:t>
            </w:r>
          </w:p>
          <w:p w:rsidR="00000000" w:rsidDel="00000000" w:rsidP="00000000" w:rsidRDefault="00000000" w:rsidRPr="00000000" w14:paraId="000003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виконання ІДЗ обираються відповідно до номера прізвища студента у журналі академічної групи.</w:t>
            </w:r>
          </w:p>
          <w:p w:rsidR="00000000" w:rsidDel="00000000" w:rsidP="00000000" w:rsidRDefault="00000000" w:rsidRPr="00000000" w14:paraId="000003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Орієнтовані питання для виконання завдання викладено на сторінці СЕЗН ЗНУ на платформі Moodle.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 балів </w:t>
            </w:r>
            <w:r w:rsidDel="00000000" w:rsidR="00000000" w:rsidRPr="00000000">
              <w:rPr>
                <w:rtl w:val="0"/>
              </w:rPr>
              <w:t xml:space="preserve">– здобувачі освіти самостійно виконали понад 90% завдань під час виконання роботи виявили усебічні, систематичні та глибокі знання програмного матеріалу з дисципліни, уміння ставити мету і формулювати завдання досліджень; творчі здібності у розумінні та використанні програмного матеріалу для виконання поставлених мети і завдань; чітко, логічно, послідовно викладати матеріал; робити обґрунтовані висновки. Під час захисту індивідуального задання надавали вичерпні, аргументовані та цілісні відповіді на всі запитання.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33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освіти виконали не менше 90% завдань, завдання роботи виконані достатньо грамотно, але є декілька (1-3) несуттєвих помилок. Під час виконання роботи здобувачі вищої освіти виявили знання і розуміння програмного матеріалу з дисципліни у повному обсязі, уміння ставити мету і формулювати завдання досліджень; творчій підхід до виконання поставлених мети і завдань; логічно, послідовно викладати матеріал; роботи  обґрунтовані висновки. Під час захисту індивідуального завдання загалом надавати аргументовані, без суттєвих помилок, відповіді на всі запитання. У цілому робота оформлена акуратно, але наявні незначні неточності в її оформленні та презентації.</w:t>
            </w:r>
          </w:p>
          <w:p w:rsidR="00000000" w:rsidDel="00000000" w:rsidP="00000000" w:rsidRDefault="00000000" w:rsidRPr="00000000" w14:paraId="0000033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здобувачі освіти виконали не менше 80% завдань, завдання роботи виконані достатньо грамотно, але є декілька (до 5) несуттєвих помилок. Під час виконання роботи здобувачі освіти виявили знання і розуміння програмного матеріалу з дисципліни з основних розділів, уміння ставити мету і формулювати завдання досліджень; логічно, послідовно викладати матеріал; робити висновки. Під час захисту індивідуального завдання відповідали достатньо грамотно, але припускались однієї-двох непринципових помилок. Робота оформлена акуратно, але наявні незначні неточності в її оформленні. </w:t>
            </w:r>
          </w:p>
          <w:p w:rsidR="00000000" w:rsidDel="00000000" w:rsidP="00000000" w:rsidRDefault="00000000" w:rsidRPr="00000000" w14:paraId="0000033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</w:t>
            </w:r>
            <w:r w:rsidDel="00000000" w:rsidR="00000000" w:rsidRPr="00000000">
              <w:rPr>
                <w:rtl w:val="0"/>
              </w:rPr>
              <w:t xml:space="preserve"> – здобувачі освіти виконали завдання не в повному обсязі, але не менше 70%.  Під час виконання роботи виявили знання й розуміння основних положень дисципліни; завдання виконали неповно, непослідовно; наявні неточності та помилки у змісті та оформленні роботи. Здобувачі освіти виявляють знання й розуміння основних положень матеріалу, але надають неповні, непослідовні відповіді. Під час захисту індивідуального завдання демонстрували недостатньо глибокі знання з досліджуваної теми,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33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виконали завдання не в повному обсязі, але не менше ніж на 60%; у роботі присутні принципові помилки в оформленні. Під час виконання роботи виявили знання й розуміння основних положень матеріалу з дисципліни. Під час захисту та підготовки презентації продемонстрували поверхневі знання з досліджуваної теми,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33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0-9 балів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здобувачі освіти виконали понад 50% завдань. Під час виконання роботи припускались принципових помилок при розв’язанні завдань. Робота оформлена зі значним порушенням вимог. Необхідна досконала переробка роботи. Під час захисту 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 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Залікове випробування в усній формі за білетами (проводиться під час сесії)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Залікове випробування в усній формі за білетами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(20 балів)</w:t>
            </w:r>
            <w:r w:rsidDel="00000000" w:rsidR="00000000" w:rsidRPr="00000000">
              <w:rPr>
                <w:rtl w:val="0"/>
              </w:rPr>
              <w:t xml:space="preserve">, що включають 3 питання: </w:t>
            </w:r>
            <w:r w:rsidDel="00000000" w:rsidR="00000000" w:rsidRPr="00000000">
              <w:rPr>
                <w:i w:val="1"/>
                <w:rtl w:val="0"/>
              </w:rPr>
              <w:t xml:space="preserve">1-е і 2-е питання</w:t>
            </w:r>
            <w:r w:rsidDel="00000000" w:rsidR="00000000" w:rsidRPr="00000000">
              <w:rPr>
                <w:rtl w:val="0"/>
              </w:rPr>
              <w:t xml:space="preserve"> – теоретичні з дисципліни «Основи технічного аналізу», </w:t>
            </w:r>
            <w:r w:rsidDel="00000000" w:rsidR="00000000" w:rsidRPr="00000000">
              <w:rPr>
                <w:i w:val="1"/>
                <w:rtl w:val="0"/>
              </w:rPr>
              <w:t xml:space="preserve">3-е питання</w:t>
            </w:r>
            <w:r w:rsidDel="00000000" w:rsidR="00000000" w:rsidRPr="00000000">
              <w:rPr>
                <w:rtl w:val="0"/>
              </w:rPr>
              <w:t xml:space="preserve"> – перевірка практичних умінь застосування знань.</w:t>
            </w:r>
          </w:p>
          <w:p w:rsidR="00000000" w:rsidDel="00000000" w:rsidP="00000000" w:rsidRDefault="00000000" w:rsidRPr="00000000" w14:paraId="0000034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</w:t>
            </w:r>
            <w:r w:rsidDel="00000000" w:rsidR="00000000" w:rsidRPr="00000000">
              <w:rPr>
                <w:rtl w:val="0"/>
              </w:rPr>
              <w:t xml:space="preserve"> – балів здобувачі освіти дали розгорнуті відповіді на запитання залікового білету; виявили усебічні, систематичні та глибокі знання програмного матеріалу з дисципліни.</w:t>
            </w:r>
          </w:p>
          <w:p w:rsidR="00000000" w:rsidDel="00000000" w:rsidP="00000000" w:rsidRDefault="00000000" w:rsidRPr="00000000" w14:paraId="0000034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освіти відповіли на всі поставлені запитання, але є декілька несуттєвих помилок;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34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 здобувачі освіти відповіли на всі поставлені запитання, але наявні декілька несуттєвих помилок або неточностей;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34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всі поставленні запитання білету, виявили знання основних положень навчального матеріалу,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34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запитання екзаменаційного білету в не повному обсязі;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3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0-9 балів – </w:t>
            </w:r>
            <w:r w:rsidDel="00000000" w:rsidR="00000000" w:rsidRPr="00000000">
              <w:rPr>
                <w:rtl w:val="0"/>
              </w:rPr>
              <w:t xml:space="preserve">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Усього за підсумковий семестровий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34D">
      <w:pPr>
        <w:rPr>
          <w:b w:val="1"/>
        </w:rPr>
        <w:sectPr>
          <w:type w:val="nextPage"/>
          <w:pgSz w:h="11910" w:w="16840" w:orient="landscape"/>
          <w:pgMar w:bottom="580" w:top="820" w:left="1240" w:right="1120" w:header="0" w:footer="105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tabs>
          <w:tab w:val="left" w:leader="none" w:pos="3810"/>
        </w:tabs>
        <w:spacing w:before="1" w:lineRule="auto"/>
        <w:ind w:right="23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Рекомендована література</w:t>
      </w:r>
    </w:p>
    <w:p w:rsidR="00000000" w:rsidDel="00000000" w:rsidP="00000000" w:rsidRDefault="00000000" w:rsidRPr="00000000" w14:paraId="00000350">
      <w:pPr>
        <w:tabs>
          <w:tab w:val="left" w:leader="none" w:pos="3810"/>
        </w:tabs>
        <w:spacing w:before="1" w:lineRule="auto"/>
        <w:ind w:right="23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tabs>
          <w:tab w:val="left" w:leader="none" w:pos="426"/>
        </w:tabs>
        <w:rPr/>
      </w:pPr>
      <w:r w:rsidDel="00000000" w:rsidR="00000000" w:rsidRPr="00000000">
        <w:rPr>
          <w:b w:val="1"/>
          <w:rtl w:val="0"/>
        </w:rPr>
        <w:t xml:space="preserve">Основна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3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Луганська О. В. Основи технічного аналізу : конспект лекцій для здобувачів ступеня вищої освіти бакалавра спеціальності «Хімія». Запоріжжя : ЗНУ, 2021. 71 с.</w:t>
      </w:r>
    </w:p>
    <w:p w:rsidR="00000000" w:rsidDel="00000000" w:rsidP="00000000" w:rsidRDefault="00000000" w:rsidRPr="00000000" w14:paraId="00000353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Луганська О. В. Основи технічного аналізу : методичні вказівки до самостійної роботи для здобувачів ступеня вищої освіти бакалавра спеціальності Хімія. Запоріжжя : ЗНУ, 2021. 58 с.</w:t>
      </w:r>
    </w:p>
    <w:p w:rsidR="00000000" w:rsidDel="00000000" w:rsidP="00000000" w:rsidRDefault="00000000" w:rsidRPr="00000000" w14:paraId="0000035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674"/>
          <w:tab w:val="left" w:leader="none" w:pos="4771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Більченко М.М. Задачі та вправи : навчальний посібник. Суми : Університетська книга, 2019. 205 с.</w:t>
      </w:r>
    </w:p>
    <w:p w:rsidR="00000000" w:rsidDel="00000000" w:rsidP="00000000" w:rsidRDefault="00000000" w:rsidRPr="00000000" w14:paraId="000003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Додаткова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356">
      <w:pPr>
        <w:numPr>
          <w:ilvl w:val="0"/>
          <w:numId w:val="5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Сирова Г. О., Петюніна В. М., Лук’янова Л. В., Тішакова Т. С., Савельєва О. В. Аналітична хімія (якісний аналіз) : Навчальний посібник.  Харків, 2019.  131 с. </w:t>
      </w:r>
    </w:p>
    <w:p w:rsidR="00000000" w:rsidDel="00000000" w:rsidP="00000000" w:rsidRDefault="00000000" w:rsidRPr="00000000" w14:paraId="00000357">
      <w:pPr>
        <w:numPr>
          <w:ilvl w:val="0"/>
          <w:numId w:val="5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Чеботарьов О.М, Топоров С.В. , Гузенко О.М. Аналітична хімія. Кількісний аналіз : практикум для студентів факультету хімії та фармації.  Одеса : Одеський національний університет ім. І. І. Мечникова, 2019. 80 с. </w:t>
      </w:r>
    </w:p>
    <w:p w:rsidR="00000000" w:rsidDel="00000000" w:rsidP="00000000" w:rsidRDefault="00000000" w:rsidRPr="00000000" w14:paraId="00000358">
      <w:pPr>
        <w:numPr>
          <w:ilvl w:val="0"/>
          <w:numId w:val="5"/>
        </w:numPr>
        <w:tabs>
          <w:tab w:val="left" w:leader="none" w:pos="567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Богомолов М. Ф., Шликов В. В., Максименко В. Б. Методи та засоби діагностики. Сучасні оптоелектронні діагностичні прилади : навчальний посібник.  Київ :  КПІ ім. Ігоря Сікорського, 2021. 125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numPr>
          <w:ilvl w:val="0"/>
          <w:numId w:val="5"/>
        </w:numPr>
        <w:tabs>
          <w:tab w:val="left" w:leader="none" w:pos="567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Гринь Г. І., Мохонько В. І., Суворін О. В. Методи вимірювання параметрів навколишнього середовища : підручник. Сєвєродонецьк : СНУ ім. В. Даля, 2019.  420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Кельїна С. Ю., Невинський О. Г., Лічко О. І., Ремешевська І. В. Загальна хімія. Хімія та екологія води. Навчальний посібник.  Миколаїв : НУК, 2019. 215 с.</w:t>
      </w:r>
    </w:p>
    <w:p w:rsidR="00000000" w:rsidDel="00000000" w:rsidP="00000000" w:rsidRDefault="00000000" w:rsidRPr="00000000" w14:paraId="0000035B">
      <w:pPr>
        <w:numPr>
          <w:ilvl w:val="0"/>
          <w:numId w:val="5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Спаська О. А. Аналітична хімія: лабораторний практикум.  Київ : Вид-во Нац. авіац. ун-ту «НАУ-друк» 2021.  66 с. </w:t>
      </w:r>
    </w:p>
    <w:p w:rsidR="00000000" w:rsidDel="00000000" w:rsidP="00000000" w:rsidRDefault="00000000" w:rsidRPr="00000000" w14:paraId="0000035C">
      <w:pPr>
        <w:numPr>
          <w:ilvl w:val="0"/>
          <w:numId w:val="5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Аналітична хімія. Якісний та кількісний аналіз : курс лекцій для студентів природничих факультетів. Житомир : Житомирський державний університет, 2018. 160 с. </w:t>
      </w:r>
    </w:p>
    <w:p w:rsidR="00000000" w:rsidDel="00000000" w:rsidP="00000000" w:rsidRDefault="00000000" w:rsidRPr="00000000" w14:paraId="000003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Інформаційні ресурси</w:t>
      </w:r>
    </w:p>
    <w:p w:rsidR="00000000" w:rsidDel="00000000" w:rsidP="00000000" w:rsidRDefault="00000000" w:rsidRPr="00000000" w14:paraId="0000035E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Основи технічного аналізу : електронний курс СЕЗН ЗНУ URL: https://moodle.znu.edu.ua/course/view.php?id=5679</w:t>
      </w:r>
    </w:p>
    <w:p w:rsidR="00000000" w:rsidDel="00000000" w:rsidP="00000000" w:rsidRDefault="00000000" w:rsidRPr="00000000" w14:paraId="0000035F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Нормативно-правова база у сфері охорони навколишнього природного середовища URL: </w:t>
      </w:r>
      <w:hyperlink r:id="rId8">
        <w:r w:rsidDel="00000000" w:rsidR="00000000" w:rsidRPr="00000000">
          <w:rPr>
            <w:color w:val="000000"/>
            <w:rtl w:val="0"/>
          </w:rPr>
          <w:t xml:space="preserve">https://voladm.gov.ua/category/normativno-pravova-baza-u-sferi-ohoroni-navkolishnogo-prirodnogo-seredovischa/1/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Хімічні фактори небезпеки в оточуючому середовищі URL: </w:t>
      </w:r>
      <w:hyperlink r:id="rId9">
        <w:r w:rsidDel="00000000" w:rsidR="00000000" w:rsidRPr="00000000">
          <w:rPr>
            <w:color w:val="000000"/>
            <w:u w:val="none"/>
            <w:rtl w:val="0"/>
          </w:rPr>
          <w:t xml:space="preserve">https://pidru4niki.com/16330826/bzhd/himichni_faktori_nebezpeki_otochuyuchomu_seredovischi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numPr>
          <w:ilvl w:val="0"/>
          <w:numId w:val="6"/>
        </w:numP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Фізико-хімічні методи аналізу URL: https://library.udpu.edu.ua/library_files/6363_10.pdf</w:t>
      </w:r>
    </w:p>
    <w:p w:rsidR="00000000" w:rsidDel="00000000" w:rsidP="00000000" w:rsidRDefault="00000000" w:rsidRPr="00000000" w14:paraId="0000036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Аналітична хімія в аналізі технічнологічних і природних об'єктів </w:t>
      </w:r>
      <w:r w:rsidDel="00000000" w:rsidR="00000000" w:rsidRPr="00000000">
        <w:rPr>
          <w:color w:val="000000"/>
          <w:rtl w:val="0"/>
        </w:rPr>
        <w:t xml:space="preserve">URL:</w:t>
      </w:r>
      <w:r w:rsidDel="00000000" w:rsidR="00000000" w:rsidRPr="00000000">
        <w:rPr>
          <w:color w:val="000000"/>
          <w:highlight w:val="white"/>
          <w:rtl w:val="0"/>
        </w:rPr>
        <w:t xml:space="preserve">  </w:t>
      </w:r>
      <w:r w:rsidDel="00000000" w:rsidR="00000000" w:rsidRPr="00000000">
        <w:rPr>
          <w:color w:val="000000"/>
          <w:rtl w:val="0"/>
        </w:rPr>
        <w:t xml:space="preserve">http://dspace.pdaa.edu.ua:8080/bitstream/123456789/6212/1/Аналітична%20хімія%20в%20аналізі%20технологічних%20та%20природних%20об%27єктах.pdf</w:t>
      </w:r>
    </w:p>
    <w:p w:rsidR="00000000" w:rsidDel="00000000" w:rsidP="00000000" w:rsidRDefault="00000000" w:rsidRPr="00000000" w14:paraId="0000036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40" w:top="1040" w:left="820" w:right="580" w:header="0" w:footer="105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338" w:hanging="359"/>
      </w:pPr>
      <w:rPr/>
    </w:lvl>
    <w:lvl w:ilvl="2">
      <w:start w:val="0"/>
      <w:numFmt w:val="bullet"/>
      <w:lvlText w:val="•"/>
      <w:lvlJc w:val="left"/>
      <w:pPr>
        <w:ind w:left="2356" w:hanging="360"/>
      </w:pPr>
      <w:rPr/>
    </w:lvl>
    <w:lvl w:ilvl="3">
      <w:start w:val="0"/>
      <w:numFmt w:val="bullet"/>
      <w:lvlText w:val="•"/>
      <w:lvlJc w:val="left"/>
      <w:pPr>
        <w:ind w:left="3375" w:hanging="360"/>
      </w:pPr>
      <w:rPr/>
    </w:lvl>
    <w:lvl w:ilvl="4">
      <w:start w:val="0"/>
      <w:numFmt w:val="bullet"/>
      <w:lvlText w:val="•"/>
      <w:lvlJc w:val="left"/>
      <w:pPr>
        <w:ind w:left="4393" w:hanging="360"/>
      </w:pPr>
      <w:rPr/>
    </w:lvl>
    <w:lvl w:ilvl="5">
      <w:start w:val="0"/>
      <w:numFmt w:val="bullet"/>
      <w:lvlText w:val="•"/>
      <w:lvlJc w:val="left"/>
      <w:pPr>
        <w:ind w:left="5412" w:hanging="360"/>
      </w:pPr>
      <w:rPr/>
    </w:lvl>
    <w:lvl w:ilvl="6">
      <w:start w:val="0"/>
      <w:numFmt w:val="bullet"/>
      <w:lvlText w:val="•"/>
      <w:lvlJc w:val="left"/>
      <w:pPr>
        <w:ind w:left="6430" w:hanging="360"/>
      </w:pPr>
      <w:rPr/>
    </w:lvl>
    <w:lvl w:ilvl="7">
      <w:start w:val="0"/>
      <w:numFmt w:val="bullet"/>
      <w:lvlText w:val="•"/>
      <w:lvlJc w:val="left"/>
      <w:pPr>
        <w:ind w:left="7448" w:hanging="360"/>
      </w:pPr>
      <w:rPr/>
    </w:lvl>
    <w:lvl w:ilvl="8">
      <w:start w:val="0"/>
      <w:numFmt w:val="bullet"/>
      <w:lvlText w:val="•"/>
      <w:lvlJc w:val="left"/>
      <w:pPr>
        <w:ind w:left="846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814" w:hanging="246.0000000000004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4488" w:hanging="246"/>
      </w:pPr>
      <w:rPr/>
    </w:lvl>
    <w:lvl w:ilvl="2">
      <w:start w:val="0"/>
      <w:numFmt w:val="bullet"/>
      <w:lvlText w:val="•"/>
      <w:lvlJc w:val="left"/>
      <w:pPr>
        <w:ind w:left="5156" w:hanging="246"/>
      </w:pPr>
      <w:rPr/>
    </w:lvl>
    <w:lvl w:ilvl="3">
      <w:start w:val="0"/>
      <w:numFmt w:val="bullet"/>
      <w:lvlText w:val="•"/>
      <w:lvlJc w:val="left"/>
      <w:pPr>
        <w:ind w:left="5825" w:hanging="246"/>
      </w:pPr>
      <w:rPr/>
    </w:lvl>
    <w:lvl w:ilvl="4">
      <w:start w:val="0"/>
      <w:numFmt w:val="bullet"/>
      <w:lvlText w:val="•"/>
      <w:lvlJc w:val="left"/>
      <w:pPr>
        <w:ind w:left="6493" w:hanging="246.00000000000182"/>
      </w:pPr>
      <w:rPr/>
    </w:lvl>
    <w:lvl w:ilvl="5">
      <w:start w:val="0"/>
      <w:numFmt w:val="bullet"/>
      <w:lvlText w:val="•"/>
      <w:lvlJc w:val="left"/>
      <w:pPr>
        <w:ind w:left="7162" w:hanging="246"/>
      </w:pPr>
      <w:rPr/>
    </w:lvl>
    <w:lvl w:ilvl="6">
      <w:start w:val="0"/>
      <w:numFmt w:val="bullet"/>
      <w:lvlText w:val="•"/>
      <w:lvlJc w:val="left"/>
      <w:pPr>
        <w:ind w:left="7830" w:hanging="246"/>
      </w:pPr>
      <w:rPr/>
    </w:lvl>
    <w:lvl w:ilvl="7">
      <w:start w:val="0"/>
      <w:numFmt w:val="bullet"/>
      <w:lvlText w:val="•"/>
      <w:lvlJc w:val="left"/>
      <w:pPr>
        <w:ind w:left="8498" w:hanging="246"/>
      </w:pPr>
      <w:rPr/>
    </w:lvl>
    <w:lvl w:ilvl="8">
      <w:start w:val="0"/>
      <w:numFmt w:val="bullet"/>
      <w:lvlText w:val="•"/>
      <w:lvlJc w:val="left"/>
      <w:pPr>
        <w:ind w:left="9167" w:hanging="246"/>
      </w:pPr>
      <w:rPr/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36" w:line="320" w:lineRule="auto"/>
      <w:ind w:right="238"/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36" w:line="320" w:lineRule="auto"/>
      <w:ind w:right="238"/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dru4niki.com/16330826/bzhd/himichni_faktori_nebezpeki_otochuyuchomu_seredovisch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https://voladm.gov.ua/category/normativno-pravova-baza-u-sferi-ohoroni-navkolishnogo-prirodnogo-seredovischa/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FQo0FuBn84i08zk4cisDTLoEg==">CgMxLjAyCmlkLjMwajB6bGwyCmlkLjFmb2I5dGUyCmlkLjN6bnlzaDcyCWguMmV0OTJwMDIJaWQudHlqY3d0MgloLjNkeTZ2a20yCmlkLjF0M2g1c2YyCWguNGQzNG9nODgAciExWWowZ0RZcENzTE84ZTZyVFIxcnRaNW1hcUhGRFNWODA=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