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AD19" w14:textId="590361D9" w:rsidR="00BB1292" w:rsidRDefault="00BB1292" w:rsidP="00BB1292">
      <w:pPr>
        <w:spacing w:after="30"/>
        <w:jc w:val="center"/>
        <w:textAlignment w:val="baseline"/>
        <w:outlineLvl w:val="0"/>
        <w:rPr>
          <w:rFonts w:eastAsia="Times New Roman" w:cs="Times New Roman"/>
          <w:b/>
          <w:bCs/>
          <w:color w:val="00909C"/>
          <w:kern w:val="36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B1292">
        <w:rPr>
          <w:rFonts w:eastAsia="Times New Roman" w:cs="Times New Roman"/>
          <w:b/>
          <w:bCs/>
          <w:color w:val="00909C"/>
          <w:kern w:val="36"/>
          <w:szCs w:val="28"/>
          <w:bdr w:val="none" w:sz="0" w:space="0" w:color="auto" w:frame="1"/>
          <w:lang w:eastAsia="ru-RU"/>
        </w:rPr>
        <w:t>ЩО ТАКЕ ВІМ?</w:t>
      </w:r>
    </w:p>
    <w:p w14:paraId="71CD96B9" w14:textId="771C2FB0" w:rsidR="00BB1292" w:rsidRDefault="00BB1292" w:rsidP="00BB1292">
      <w:pPr>
        <w:spacing w:after="30"/>
        <w:jc w:val="center"/>
        <w:textAlignment w:val="baseline"/>
        <w:outlineLvl w:val="0"/>
        <w:rPr>
          <w:rFonts w:eastAsia="Times New Roman" w:cs="Times New Roman"/>
          <w:b/>
          <w:bCs/>
          <w:color w:val="00909C"/>
          <w:kern w:val="36"/>
          <w:szCs w:val="28"/>
          <w:bdr w:val="none" w:sz="0" w:space="0" w:color="auto" w:frame="1"/>
          <w:lang w:eastAsia="ru-RU"/>
        </w:rPr>
      </w:pPr>
    </w:p>
    <w:p w14:paraId="0F5E7624" w14:textId="77777777" w:rsidR="00BB1292" w:rsidRPr="00BB1292" w:rsidRDefault="00BB1292" w:rsidP="00BB1292">
      <w:pPr>
        <w:spacing w:after="30"/>
        <w:jc w:val="center"/>
        <w:textAlignment w:val="baseline"/>
        <w:outlineLvl w:val="0"/>
        <w:rPr>
          <w:rFonts w:eastAsia="Times New Roman" w:cs="Times New Roman"/>
          <w:b/>
          <w:bCs/>
          <w:color w:val="A60800"/>
          <w:kern w:val="36"/>
          <w:szCs w:val="28"/>
          <w:lang w:eastAsia="ru-RU"/>
        </w:rPr>
      </w:pPr>
    </w:p>
    <w:p w14:paraId="368A6E53" w14:textId="77777777" w:rsidR="00BB1292" w:rsidRP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Інформаційне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моделювання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будівництві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(BIM - </w:t>
      </w:r>
      <w:r w:rsidRPr="00BB129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Building Information </w:t>
      </w:r>
      <w:proofErr w:type="spellStart"/>
      <w:r w:rsidRPr="00BB129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Modeling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) 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цифрове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представлення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фізичних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функціональних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характеристик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створює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спільно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використовуваний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інформаційний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ресурс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даного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формує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надійну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основу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рішень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протязі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життєвого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циклу: 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ранніх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концепцій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утилізації</w:t>
      </w:r>
      <w:proofErr w:type="spellEnd"/>
    </w:p>
    <w:p w14:paraId="77B7429C" w14:textId="4D7320BA" w:rsidR="00BB1292" w:rsidRP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14:paraId="6716CB8D" w14:textId="77777777" w:rsidR="00BB1292" w:rsidRP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szCs w:val="28"/>
          <w:lang w:val="en-US" w:eastAsia="ru-RU"/>
        </w:rPr>
      </w:pP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BIM -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це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один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багатообіцяючих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підходів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який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дозволяє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розробку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однієї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або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більше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точних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віртуальних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побудованих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в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цифровому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форматі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моделей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об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'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єкта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будівництва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 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для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проектування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будівництва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і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закупівлі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за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яких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і</w:t>
      </w:r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будівництво</w:t>
      </w:r>
      <w:proofErr w:type="spellEnd"/>
      <w:r w:rsidRPr="00BB1292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B1292">
        <w:rPr>
          <w:rFonts w:eastAsia="Times New Roman" w:cs="Times New Roman"/>
          <w:szCs w:val="28"/>
          <w:bdr w:val="none" w:sz="0" w:space="0" w:color="auto" w:frame="1"/>
          <w:lang w:eastAsia="ru-RU"/>
        </w:rPr>
        <w:t>безпосередньо</w:t>
      </w:r>
      <w:proofErr w:type="spellEnd"/>
    </w:p>
    <w:p w14:paraId="708BC287" w14:textId="755C682E" w:rsid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szCs w:val="28"/>
          <w:lang w:val="en-US" w:eastAsia="ru-RU"/>
        </w:rPr>
      </w:pPr>
    </w:p>
    <w:p w14:paraId="75159768" w14:textId="585E63CC" w:rsid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szCs w:val="28"/>
          <w:lang w:val="en-US" w:eastAsia="ru-RU"/>
        </w:rPr>
      </w:pPr>
    </w:p>
    <w:p w14:paraId="38275C0E" w14:textId="77777777" w:rsidR="00BB1292" w:rsidRPr="00BB1292" w:rsidRDefault="00BB1292" w:rsidP="00BB1292">
      <w:pPr>
        <w:spacing w:after="0" w:line="312" w:lineRule="atLeast"/>
        <w:jc w:val="both"/>
        <w:textAlignment w:val="baseline"/>
        <w:rPr>
          <w:rFonts w:eastAsia="Times New Roman" w:cs="Times New Roman"/>
          <w:szCs w:val="28"/>
          <w:lang w:val="en-US" w:eastAsia="ru-RU"/>
        </w:rPr>
      </w:pPr>
    </w:p>
    <w:p w14:paraId="2AEC3128" w14:textId="77777777" w:rsidR="00BB1292" w:rsidRPr="00BB1292" w:rsidRDefault="00BB1292" w:rsidP="00BB1292">
      <w:pPr>
        <w:jc w:val="center"/>
        <w:textAlignment w:val="baseline"/>
        <w:outlineLvl w:val="0"/>
        <w:rPr>
          <w:rFonts w:eastAsia="Times New Roman" w:cs="Times New Roman"/>
          <w:b/>
          <w:bCs/>
          <w:color w:val="A60800"/>
          <w:kern w:val="36"/>
          <w:szCs w:val="28"/>
          <w:lang w:eastAsia="ru-RU"/>
        </w:rPr>
      </w:pPr>
      <w:r w:rsidRPr="00BB1292">
        <w:rPr>
          <w:rFonts w:eastAsia="Times New Roman" w:cs="Times New Roman"/>
          <w:b/>
          <w:bCs/>
          <w:color w:val="00909C"/>
          <w:kern w:val="36"/>
          <w:szCs w:val="28"/>
          <w:bdr w:val="none" w:sz="0" w:space="0" w:color="auto" w:frame="1"/>
          <w:lang w:eastAsia="ru-RU"/>
        </w:rPr>
        <w:t>СКІЛЬКИ ВИМІРІВ У ВІМ-МОДЕЛІ?</w:t>
      </w:r>
    </w:p>
    <w:p w14:paraId="4226A4B2" w14:textId="017B4FCB" w:rsid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59654CD" wp14:editId="44375A4C">
            <wp:extent cx="2860040" cy="2860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BF90" w14:textId="01B1E696" w:rsid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20E7BD78" w14:textId="77777777" w:rsidR="00BB1292" w:rsidRP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2AAACE73" w14:textId="4E4F260A" w:rsidR="00BB1292" w:rsidRPr="00BB1292" w:rsidRDefault="00BB1292" w:rsidP="00BB1292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340218D" wp14:editId="15333F38">
            <wp:extent cx="197485" cy="1390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3D формат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дозволяє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наочно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демонструвати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замовнику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знаходити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виправляти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колізії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між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інженерними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мережами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багато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іншого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3622F7F0" w14:textId="5CB007DF" w:rsidR="00BB1292" w:rsidRPr="00BB1292" w:rsidRDefault="00BB1292" w:rsidP="00BB1292">
      <w:pPr>
        <w:spacing w:after="12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E53F956" wp14:editId="4C57F09B">
            <wp:extent cx="197485" cy="139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4D - час;</w:t>
      </w:r>
    </w:p>
    <w:p w14:paraId="529C5CE0" w14:textId="4BDADC37" w:rsidR="00BB1292" w:rsidRPr="00BB1292" w:rsidRDefault="00BB1292" w:rsidP="00BB1292">
      <w:pPr>
        <w:spacing w:after="12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6912D49" wp14:editId="102B2465">
            <wp:extent cx="197485" cy="139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5D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вартість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4E423923" w14:textId="09AD8E50" w:rsidR="00BB1292" w:rsidRPr="00BB1292" w:rsidRDefault="00BB1292" w:rsidP="00BB1292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A832993" wp14:editId="05E047DB">
            <wp:extent cx="197485" cy="1314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6D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стійкість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енергетичний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аналіз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стале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елементів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7D7550F6" w14:textId="3653CEDE" w:rsidR="00BB1292" w:rsidRPr="00BB1292" w:rsidRDefault="00BB1292" w:rsidP="00BB1292">
      <w:pPr>
        <w:spacing w:after="120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4DEE75D" wp14:editId="3936DABA">
            <wp:extent cx="197485" cy="139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7D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об'єктами</w:t>
      </w:r>
      <w:proofErr w:type="spellEnd"/>
    </w:p>
    <w:p w14:paraId="4C14EEB7" w14:textId="54BB6A44" w:rsidR="00BB1292" w:rsidRDefault="00BB1292" w:rsidP="00BB1292">
      <w:pPr>
        <w:spacing w:line="40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18AFEA46" w14:textId="77777777" w:rsidR="00BB1292" w:rsidRPr="00BB1292" w:rsidRDefault="00BB1292" w:rsidP="00BB1292">
      <w:pPr>
        <w:jc w:val="center"/>
        <w:textAlignment w:val="baseline"/>
        <w:outlineLvl w:val="0"/>
        <w:rPr>
          <w:rFonts w:eastAsia="Times New Roman" w:cs="Times New Roman"/>
          <w:b/>
          <w:bCs/>
          <w:color w:val="A60800"/>
          <w:kern w:val="36"/>
          <w:szCs w:val="28"/>
          <w:lang w:eastAsia="ru-RU"/>
        </w:rPr>
      </w:pPr>
      <w:r w:rsidRPr="00BB1292">
        <w:rPr>
          <w:rFonts w:eastAsia="Times New Roman" w:cs="Times New Roman"/>
          <w:b/>
          <w:bCs/>
          <w:color w:val="00909C"/>
          <w:kern w:val="36"/>
          <w:szCs w:val="28"/>
          <w:bdr w:val="none" w:sz="0" w:space="0" w:color="auto" w:frame="1"/>
          <w:lang w:eastAsia="ru-RU"/>
        </w:rPr>
        <w:lastRenderedPageBreak/>
        <w:t>МОДЕЛЬ РІВНІВ ЗРІЛОСТІ ВІМ</w:t>
      </w:r>
    </w:p>
    <w:p w14:paraId="2FBB517A" w14:textId="22B5E32B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65E911C" wp14:editId="3BDCDA77">
            <wp:extent cx="5939790" cy="37617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8B30" w14:textId="77777777" w:rsidR="00BB1292" w:rsidRPr="00BB1292" w:rsidRDefault="00BB1292" w:rsidP="00BB1292">
      <w:pPr>
        <w:spacing w:after="0" w:line="336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Діаграма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рівнів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зрілості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BIM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розроблена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Марком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Б'ю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Мервін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Річардсом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опису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різних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рівнів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інформаційного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моделювання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BIM.</w:t>
      </w:r>
    </w:p>
    <w:p w14:paraId="47B5906C" w14:textId="77777777" w:rsidR="00BB1292" w:rsidRPr="00BB1292" w:rsidRDefault="00BB1292" w:rsidP="00BB1292">
      <w:pPr>
        <w:spacing w:after="0" w:line="336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Дана модель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описує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зрілості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щодо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здатності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будівельної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галузі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виробляти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зберігати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обмінюватися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нею.</w:t>
      </w:r>
    </w:p>
    <w:p w14:paraId="1B724CDD" w14:textId="33469E5A" w:rsidR="00BB1292" w:rsidRP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3735BC9C" w14:textId="77777777" w:rsidR="00BB1292" w:rsidRP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0AFB74A8" w14:textId="77777777" w:rsidR="00BB1292" w:rsidRPr="00BB1292" w:rsidRDefault="00BB1292" w:rsidP="00BB1292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ВИЗНАЧЕННЯ РІВНІВ ЗРІЛОСТІ МОДЕЛЕЙ ІНФОРМАЦІЙНОГО МОДЕЛЮВАННЯ</w:t>
      </w:r>
    </w:p>
    <w:p w14:paraId="6A11BFEB" w14:textId="25943F78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​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 xml:space="preserve">РІВЕНЬ 0 </w:t>
      </w:r>
      <w:proofErr w:type="gramStart"/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( «</w:t>
      </w:r>
      <w:proofErr w:type="spellStart"/>
      <w:proofErr w:type="gramEnd"/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некерований</w:t>
      </w:r>
      <w:proofErr w:type="spellEnd"/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 xml:space="preserve"> CAD»)</w:t>
      </w:r>
    </w:p>
    <w:p w14:paraId="0472A5B8" w14:textId="77777777" w:rsidR="00BB1292" w:rsidRPr="00BB1292" w:rsidRDefault="00BB1292" w:rsidP="00BB1292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Користувачі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застосовують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традиційний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CAD у 2D-форматі.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кресленнях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будівельні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елементи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зображені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лініями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дугами,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визначають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геометрію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конструкції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Обмін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даними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між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проекту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паперовому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або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носії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14:paraId="3D4C3BD1" w14:textId="7DCEAC61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6C588FE8" w14:textId="357F0F73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​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 xml:space="preserve"> 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РІВЕНЬ 1</w:t>
      </w:r>
    </w:p>
    <w:p w14:paraId="4A5B2C5E" w14:textId="77777777" w:rsidR="00BB1292" w:rsidRPr="00BB1292" w:rsidRDefault="00BB1292" w:rsidP="00BB1292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Користувачі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застосовують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CAD у 2D-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або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3D-форматі.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Моделі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містять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основному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базову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обміну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інформацією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використовуються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електронні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файли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цьому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взаємодія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між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організовано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через середу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загальних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(Common Data Environment).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Однак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повноцінної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взаємодії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між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відносяться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різних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дисциплін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14:paraId="26C1F0C9" w14:textId="767E0CA2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E8033C6" w14:textId="5152F496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​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 xml:space="preserve"> 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РІВЕНЬ 2</w:t>
      </w:r>
    </w:p>
    <w:p w14:paraId="48EF8C98" w14:textId="77777777" w:rsidR="00BB1292" w:rsidRPr="00BB1292" w:rsidRDefault="00BB1292" w:rsidP="00BB1292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BIM-проект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цього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являє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собою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комплексну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модель, над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якою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паралельно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працюють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фахівці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різних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спеціальностей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різних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програмах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Збірка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моделі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аналіз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колізій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складальних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програмних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додатках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14:paraId="28F17ABD" w14:textId="77777777" w:rsidR="00BB1292" w:rsidRPr="00BB1292" w:rsidRDefault="00BB1292" w:rsidP="00BB1292">
      <w:pPr>
        <w:spacing w:after="0" w:line="336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Даний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рівень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додавання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наступних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вимірювань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 4D (час) і 5D (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вартість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).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цього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передбачається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форматі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COBie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14:paraId="52FE5E21" w14:textId="5CB7A381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58615F3A" w14:textId="4F2C1D43" w:rsidR="00BB1292" w:rsidRPr="00BB1292" w:rsidRDefault="00BB1292" w:rsidP="00BB1292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​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 xml:space="preserve"> </w:t>
      </w:r>
      <w:r w:rsidRPr="00BB1292">
        <w:rPr>
          <w:rFonts w:eastAsia="Times New Roman" w:cs="Times New Roman"/>
          <w:color w:val="005D65"/>
          <w:szCs w:val="28"/>
          <w:bdr w:val="none" w:sz="0" w:space="0" w:color="auto" w:frame="1"/>
          <w:lang w:eastAsia="ru-RU"/>
        </w:rPr>
        <w:t>РІВЕНЬ 3</w:t>
      </w:r>
    </w:p>
    <w:p w14:paraId="7AB25C80" w14:textId="77777777" w:rsidR="00BB1292" w:rsidRPr="00BB1292" w:rsidRDefault="00BB1292" w:rsidP="00BB1292">
      <w:pPr>
        <w:spacing w:after="0" w:line="336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Будівельний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проект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спирається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єдину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інтегровану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модель, яка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створюється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використовується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всіма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замовником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проекту,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проектувальником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інженерними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службами,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підрядниками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субпідрядниками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власниками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об'єкта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повністю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інтегровані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інтегрований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процес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який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використовує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веб-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сервіси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є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сумісним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новими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стандартами Industry Foundation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Classes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(IFC).</w:t>
      </w:r>
    </w:p>
    <w:p w14:paraId="2793A5CB" w14:textId="77777777" w:rsidR="00BB1292" w:rsidRPr="00BB1292" w:rsidRDefault="00BB1292" w:rsidP="00BB1292">
      <w:pPr>
        <w:spacing w:after="0" w:line="336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компанії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будівельної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галузі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різних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рівнях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зрілості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і, як правило,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BIM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вузького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профілю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Має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пройти час,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щоб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галузі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було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накопичено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достатньо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знань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поступового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переходу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від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і другого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рівнів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зрілості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яких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більшість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з них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цей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час, до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третього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рівня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повністю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інтегрованого</w:t>
      </w:r>
      <w:proofErr w:type="spellEnd"/>
      <w:r w:rsidRPr="00BB12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BIM.</w:t>
      </w:r>
    </w:p>
    <w:p w14:paraId="23C48351" w14:textId="77777777" w:rsidR="00F12C76" w:rsidRPr="00BB1292" w:rsidRDefault="00F12C76" w:rsidP="00BB1292">
      <w:pPr>
        <w:rPr>
          <w:rFonts w:cs="Times New Roman"/>
          <w:szCs w:val="28"/>
        </w:rPr>
      </w:pPr>
    </w:p>
    <w:sectPr w:rsidR="00F12C76" w:rsidRPr="00BB12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92"/>
    <w:rsid w:val="006C0B77"/>
    <w:rsid w:val="008242FF"/>
    <w:rsid w:val="00870751"/>
    <w:rsid w:val="00922C48"/>
    <w:rsid w:val="00B915B7"/>
    <w:rsid w:val="00BB12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058C"/>
  <w15:chartTrackingRefBased/>
  <w15:docId w15:val="{8A3B20E9-B5FA-4294-9571-453305D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B12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B12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BB1292"/>
  </w:style>
  <w:style w:type="character" w:customStyle="1" w:styleId="wixguard">
    <w:name w:val="wixguard"/>
    <w:basedOn w:val="a0"/>
    <w:rsid w:val="00BB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3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304">
                      <w:marLeft w:val="0"/>
                      <w:marRight w:val="0"/>
                      <w:marTop w:val="49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6655">
                      <w:marLeft w:val="0"/>
                      <w:marRight w:val="0"/>
                      <w:marTop w:val="225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53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04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543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00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0701">
                                  <w:marLeft w:val="0"/>
                                  <w:marRight w:val="0"/>
                                  <w:marTop w:val="75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3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696">
                                  <w:marLeft w:val="0"/>
                                  <w:marRight w:val="0"/>
                                  <w:marTop w:val="10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6118">
                                  <w:marLeft w:val="0"/>
                                  <w:marRight w:val="0"/>
                                  <w:marTop w:val="10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9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21039">
                                  <w:marLeft w:val="0"/>
                                  <w:marRight w:val="0"/>
                                  <w:marTop w:val="105"/>
                                  <w:marBottom w:val="10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62218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876935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1770">
                                  <w:marLeft w:val="0"/>
                                  <w:marRight w:val="0"/>
                                  <w:marTop w:val="10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1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1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630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2023-03-23T16:21:00Z</dcterms:created>
  <dcterms:modified xsi:type="dcterms:W3CDTF">2023-03-23T16:25:00Z</dcterms:modified>
</cp:coreProperties>
</file>