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B2" w:rsidRDefault="00254BB9" w:rsidP="00254BB9">
      <w:r>
        <w:t>Тема 3. Динаміка і еволюція біогеоценозів. Динаміка біогеоценозів. Циклічні зміни біогеоценозів. Флуктуації. Сукцесії і еволюція біогеоценозів. Екзогенні і ендогенні сукцесії. Прості і складні автогенні сукцесії. Первинні і вторинні сукцесії. Концепції клімаксу. 7 Концепція екологічної ніші і її характеристики.</w:t>
      </w:r>
      <w:bookmarkStart w:id="0" w:name="_GoBack"/>
      <w:bookmarkEnd w:id="0"/>
    </w:p>
    <w:sectPr w:rsidR="00C52F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F8"/>
    <w:rsid w:val="00254BB9"/>
    <w:rsid w:val="004E1AF8"/>
    <w:rsid w:val="00C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2610-83F9-4EF7-AB48-858FF406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2023-03-25T08:08:00Z</dcterms:created>
  <dcterms:modified xsi:type="dcterms:W3CDTF">2023-03-25T08:08:00Z</dcterms:modified>
</cp:coreProperties>
</file>