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7" w:rsidRDefault="000939E6">
      <w:r>
        <w:t>Тема 5. Енергетика біогеоценозів. Енергетичний обмін та функціонування біогеоценозів. Трофічна структура і потік енергії в біогеоценозах. Екологічне значення першого і другого закону термодинаміки. Харчові ланцюги, мережі, трофічні рівні, екологічні піраміди мас, чисел та енергії. Біогеоценотичні кругообіги речовин. Цикли і типи біологічного кругообігу</w:t>
      </w:r>
      <w:bookmarkStart w:id="0" w:name="_GoBack"/>
      <w:bookmarkEnd w:id="0"/>
    </w:p>
    <w:sectPr w:rsidR="00E570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EF"/>
    <w:rsid w:val="000939E6"/>
    <w:rsid w:val="002C31EF"/>
    <w:rsid w:val="00E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7D8C-1AED-4B45-9A43-066E0418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2023-03-25T08:08:00Z</dcterms:created>
  <dcterms:modified xsi:type="dcterms:W3CDTF">2023-03-25T08:08:00Z</dcterms:modified>
</cp:coreProperties>
</file>