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684C" w14:textId="7D69F49A" w:rsidR="00EE37F2" w:rsidRPr="00166A76" w:rsidRDefault="00EE37F2" w:rsidP="00166A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391CE6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6A76">
        <w:rPr>
          <w:rFonts w:ascii="Times New Roman" w:hAnsi="Times New Roman"/>
          <w:b/>
          <w:sz w:val="28"/>
          <w:szCs w:val="28"/>
          <w:lang w:val="uk-UA"/>
        </w:rPr>
        <w:t>Тема 5. Теорії механізмів конфліктів</w:t>
      </w:r>
    </w:p>
    <w:p w14:paraId="161695F9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З'ясування суті того, як виникають конфлікти, має важливе значення визначення способів їх вирішення. У цій темі практикуму ми розглянемо деякі з найпростіших механізмів, які були описані у роботах вітчизняних та зарубіжних авторів.</w:t>
      </w:r>
    </w:p>
    <w:p w14:paraId="7B8432F1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Матеріал для самостійного вивчення</w:t>
      </w:r>
    </w:p>
    <w:p w14:paraId="19A33E51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Формули конфлікту</w:t>
      </w:r>
    </w:p>
    <w:p w14:paraId="269A5928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 xml:space="preserve">Один із вітчизняних дослідників у галузі конфліктології В. П.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Шейнов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 xml:space="preserve"> у своїй книзі «Конфлікти в нашому житті та їх вирішення» наводить три формули конфліктів (А, Б та В). Практичне значення формул конфліктів у тому, що вони дозволяють досить швидко проводити аналіз багатьох конфліктів і шукати шляхи їх вирішення. При цьому слід пам'ятати, що наведені нижче формули не можуть бути універсальним методом оцінки та вирішення будь-яких конфліктів. У багатьох випадках вони можуть бути лише орієнтиром у складному та суперечливому процесі управління конфліктами.</w:t>
      </w:r>
    </w:p>
    <w:p w14:paraId="0A5B220F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 xml:space="preserve">Перша формула відображає залежність конфлікту (КФ) від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конфліктогенів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 xml:space="preserve"> (КФГ).</w:t>
      </w:r>
    </w:p>
    <w:p w14:paraId="65365AB6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Конфліктогени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 xml:space="preserve"> - це слова, дії (або відсутність дій), які можуть призвести до конфлікту.</w:t>
      </w:r>
    </w:p>
    <w:p w14:paraId="7142D9F9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 xml:space="preserve">Механізм розвитку конфлікту за першою формулою ґрунтується на негативному сприйнятті та негативній реакції особистості, проти якої застосований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конфліктоген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>. За відсутності вольового регулювання такий реакції вона має тенденцію розвитку за законом ескалації, тобто наростання.</w:t>
      </w:r>
    </w:p>
    <w:p w14:paraId="2CB107D7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Більш конкретно першу формулу конфлікту схематично можна виразити так:</w:t>
      </w:r>
    </w:p>
    <w:p w14:paraId="1E86899E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 xml:space="preserve">де КФГ1 - перший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конфліктоген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 xml:space="preserve">; КФГ2 - другий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конфліктоген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 xml:space="preserve">, відповідь на перший; КФГ3 - третій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конфліктоген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 xml:space="preserve">, у відповідь на другий, і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т.д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>.</w:t>
      </w:r>
    </w:p>
    <w:p w14:paraId="2A5A22F4" w14:textId="10A7307E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 xml:space="preserve">При цьому важливо мати на увазі, що КФГ2 &gt; КФГ(, КФГ3&gt; КФГ2 і т. д., тобто кожен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конфліктоген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 xml:space="preserve"> є відповідним сильнішим, ніж той, на який він </w:t>
      </w:r>
      <w:r w:rsidRPr="00166A76">
        <w:rPr>
          <w:rFonts w:ascii="Times New Roman" w:hAnsi="Times New Roman"/>
          <w:sz w:val="28"/>
          <w:szCs w:val="28"/>
          <w:lang w:val="uk-UA"/>
        </w:rPr>
        <w:lastRenderedPageBreak/>
        <w:t xml:space="preserve">відповідає (Закон ескалації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конфліктогенів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>).</w:t>
      </w:r>
    </w:p>
    <w:p w14:paraId="5EFBB917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Конфлікти, що виникають за першою формулою, умовно називатимемо конфліктами типу А. Важливо відзначити, що за спостереженнями фахівців, 80 % конфліктів виникає крім бажання їх учасників і за наведеною вище формулою. У зв'язку із цим слід запам'ятати два правила безконфліктної взаємодії.</w:t>
      </w:r>
    </w:p>
    <w:p w14:paraId="79F88802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 xml:space="preserve">Правило 1. Не використовуйте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конфліктогени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>.</w:t>
      </w:r>
    </w:p>
    <w:p w14:paraId="4E86C111" w14:textId="051EFB9C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 xml:space="preserve">Правило 2. Не відповідайте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конфліктоген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конфліктоген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>.</w:t>
      </w:r>
    </w:p>
    <w:p w14:paraId="22A98B42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 xml:space="preserve">Для успішного застосування сформульованих правил важливо знати конкретні прояви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конфліктогенів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 xml:space="preserve">. У табл. 3.1 дається характеристика деяких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конфліктогенів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>, що найчастіше зустрічаються на практиці у відносинах між людьми.</w:t>
      </w:r>
    </w:p>
    <w:p w14:paraId="5D5033E6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Друга формула відображає залежність конфлікту (КФ) від конфліктної ситуації (КС) та інциденту (І) і виражається так:</w:t>
      </w:r>
    </w:p>
    <w:p w14:paraId="68E3DEFC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КС + І = КФ</w:t>
      </w:r>
    </w:p>
    <w:p w14:paraId="08EE60FC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Ця формула вказує спосіб вирішення таких конфліктів, які умовно називатимемо конфліктами типу Б: усунути конфліктну ситуацію і вичерпати інцидент.</w:t>
      </w:r>
    </w:p>
    <w:p w14:paraId="3C0B6B8E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7E7A23AB" wp14:editId="2EB7469E">
            <wp:extent cx="23907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9EF6B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Таблиця 3.1</w:t>
      </w:r>
    </w:p>
    <w:p w14:paraId="6CD2A4A0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 xml:space="preserve">Типи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конфліктогенів</w:t>
      </w:r>
      <w:proofErr w:type="spell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0"/>
        <w:gridCol w:w="6067"/>
      </w:tblGrid>
      <w:tr w:rsidR="00C92675" w:rsidRPr="00166A76" w14:paraId="715149AA" w14:textId="77777777" w:rsidTr="00C92675">
        <w:trPr>
          <w:trHeight w:val="49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27646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Характер </w:t>
            </w:r>
            <w:proofErr w:type="spellStart"/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конфліктогену</w:t>
            </w:r>
            <w:proofErr w:type="spellEnd"/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047DA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Форма прояву</w:t>
            </w:r>
          </w:p>
        </w:tc>
      </w:tr>
      <w:tr w:rsidR="00C92675" w:rsidRPr="00166A76" w14:paraId="5E621269" w14:textId="77777777" w:rsidTr="00C92675">
        <w:trPr>
          <w:trHeight w:val="59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3E5EF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Пряме негативне ставлення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8E050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Наказ, загроза; зауваження, критика; звинувачення, глузування; глузування, сарказм</w:t>
            </w:r>
          </w:p>
        </w:tc>
      </w:tr>
      <w:tr w:rsidR="00C92675" w:rsidRPr="00166A76" w14:paraId="37353384" w14:textId="77777777" w:rsidTr="00C92675">
        <w:trPr>
          <w:trHeight w:val="52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92C92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Поблажливе ставлення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FC27E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Принизлива втіха; принизлива похвала; закид; жартування</w:t>
            </w:r>
          </w:p>
        </w:tc>
      </w:tr>
      <w:tr w:rsidR="00C92675" w:rsidRPr="00166A76" w14:paraId="2C2829FE" w14:textId="77777777" w:rsidTr="00C92675">
        <w:trPr>
          <w:trHeight w:val="52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61D55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Вихваляння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FF934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Захоплена розповідь про свої реальні та уявні успіхи</w:t>
            </w:r>
          </w:p>
        </w:tc>
      </w:tr>
      <w:tr w:rsidR="00C92675" w:rsidRPr="00166A76" w14:paraId="4BE0D041" w14:textId="77777777" w:rsidTr="00C92675">
        <w:trPr>
          <w:trHeight w:val="941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FB08B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Менторські стосунки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491F8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Категоричні оцінки, судження, висловлювання; нав'язування своїх порад, свого погляду; нагадування про неприємне; моралі та повчання</w:t>
            </w:r>
          </w:p>
        </w:tc>
      </w:tr>
      <w:tr w:rsidR="00C92675" w:rsidRPr="00166A76" w14:paraId="35A9C6EB" w14:textId="77777777" w:rsidTr="00C92675">
        <w:trPr>
          <w:trHeight w:val="52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21C84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Нечесність та нещирість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CB1B3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Приховування інформації; обман чи спроба обману; маніпуляції свідомістю людини</w:t>
            </w:r>
          </w:p>
        </w:tc>
      </w:tr>
      <w:tr w:rsidR="00C92675" w:rsidRPr="00166A76" w14:paraId="44F9830E" w14:textId="77777777" w:rsidTr="00C92675">
        <w:trPr>
          <w:trHeight w:val="137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0E343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Порушення етики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B5C87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Завдані випадково незручності без вибачення; ігнорування партнера зі спілкування (не привітався, не запросив сісти, не виявив уваги, продовжує займатися сторонніми справами тощо); перебивання співрозмовника; перекладання відповідальності на іншу людину</w:t>
            </w:r>
          </w:p>
        </w:tc>
      </w:tr>
      <w:tr w:rsidR="00C92675" w:rsidRPr="00166A76" w14:paraId="4DA865E5" w14:textId="77777777" w:rsidTr="00C92675">
        <w:trPr>
          <w:trHeight w:val="624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58C06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Регресивна поведінка</w:t>
            </w:r>
          </w:p>
        </w:tc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99726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наївні питання; посилання на інших при отриманні справедливого зауваження; суперечки</w:t>
            </w:r>
          </w:p>
        </w:tc>
      </w:tr>
    </w:tbl>
    <w:p w14:paraId="5059DAE8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Третя формула відбиває залежність конфлікту (КФ) від кількох конфліктних ситуацій (КС). Її можна виразити так:</w:t>
      </w:r>
    </w:p>
    <w:p w14:paraId="222FD285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 xml:space="preserve">КС, + КС2 + ... +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КСп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 xml:space="preserve"> = КФ, причому п &gt; 2 Словами цю формулу можна виразити так:</w:t>
      </w:r>
    </w:p>
    <w:p w14:paraId="1FAC02CC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Сума двох чи більше конфліктних ситуацій призводить до конфлікту.</w:t>
      </w:r>
    </w:p>
    <w:p w14:paraId="24F414B8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Конфлікти, що виникають за третьою формулою, умовно називатимемо конфліктами типу В. Вирішення таких конфліктів зводиться до усунення всіх конфліктних ситуацій.</w:t>
      </w:r>
    </w:p>
    <w:p w14:paraId="42CB8AB2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 xml:space="preserve">Конфлікти та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трансактний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 xml:space="preserve"> аналіз</w:t>
      </w:r>
    </w:p>
    <w:p w14:paraId="15949CD1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Теорія трансакційного (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трансактного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>) аналізу була розроблена американським психотерапевтом Еріком Берном у 60-х роках XX століття. Основні положення цієї теорії викладені їм у книзі «Люди та ігри» та широко використовуються в психотерапії при лікуванні різних психічних розладів, а також у роботі психологів щодо корекції поведінки людини.</w:t>
      </w:r>
    </w:p>
    <w:p w14:paraId="0150C2B7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 xml:space="preserve">Теорія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трансактного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 xml:space="preserve"> аналізу може бути успішно застосована у практиці прогнозування конфліктів та його попередження у міжособистісному взаємодії (МЛВ).</w:t>
      </w:r>
    </w:p>
    <w:p w14:paraId="124A9038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lastRenderedPageBreak/>
        <w:t xml:space="preserve">Основні положення теорії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трансактного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 xml:space="preserve"> аналізу</w:t>
      </w:r>
    </w:p>
    <w:p w14:paraId="518B6E7D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Поняття "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трансактний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 xml:space="preserve"> аналіз" означає аналіз взаємодій. Центральною категорією цієї теорії є "трансакція".</w:t>
      </w:r>
    </w:p>
    <w:p w14:paraId="6D1A94F3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Трансакція - це одиниця взаємодії партнерів зі спілкування, що супроводжується завданням їхньої позиції.</w:t>
      </w:r>
    </w:p>
    <w:p w14:paraId="2FD12737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Е. Берн зауважив, що у різних ситуаціях займаємо різні позиції стосовно друг до друга, що знаходить своє відображення у взаємодії (трансакціях). Основними позиціями при цьому є три, які умовно були названі Е. Берном: Батько, Дорослий та Дитина (Дитя). Надалі скорочено ми їх позначатимемо відповідно літерами: Р, В і Д.</w:t>
      </w:r>
    </w:p>
    <w:p w14:paraId="05DA230E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Поведінкові характеристики основних трансакцій</w:t>
      </w:r>
    </w:p>
    <w:p w14:paraId="1C7F7ACC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Дитина — виявляє почуття (образи, страху, вини тощо), підкоряється, пустує, виявляє безпорадність, ставить запитання: «Чому я?», «За що мене покарали?», вибачається у відповідь на зауваження тощо. .</w:t>
      </w:r>
    </w:p>
    <w:p w14:paraId="6196AC1D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Батько - вимагає, оцінює (засуджує і схвалює), вчить, керує, опікується тощо.</w:t>
      </w:r>
    </w:p>
    <w:p w14:paraId="6C55C3BA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Дорослий – працює з інформацією, розмірковує, аналізує, уточнює ситуацію, розмовляє на рівних, апелює до розуму, логіки тощо.</w:t>
      </w:r>
    </w:p>
    <w:p w14:paraId="3142A5B1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 xml:space="preserve">Алгоритм </w:t>
      </w:r>
      <w:proofErr w:type="spellStart"/>
      <w:r w:rsidRPr="00166A76">
        <w:rPr>
          <w:rFonts w:ascii="Times New Roman" w:hAnsi="Times New Roman"/>
          <w:sz w:val="28"/>
          <w:szCs w:val="28"/>
          <w:lang w:val="uk-UA"/>
        </w:rPr>
        <w:t>трансактного</w:t>
      </w:r>
      <w:proofErr w:type="spellEnd"/>
      <w:r w:rsidRPr="00166A76">
        <w:rPr>
          <w:rFonts w:ascii="Times New Roman" w:hAnsi="Times New Roman"/>
          <w:sz w:val="28"/>
          <w:szCs w:val="28"/>
          <w:lang w:val="uk-UA"/>
        </w:rPr>
        <w:t xml:space="preserve"> аналізу</w:t>
      </w:r>
    </w:p>
    <w:p w14:paraId="64DB3929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1. Скласти матрицю: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21"/>
        <w:gridCol w:w="1421"/>
      </w:tblGrid>
      <w:tr w:rsidR="00C92675" w:rsidRPr="00166A76" w14:paraId="1721B06C" w14:textId="77777777" w:rsidTr="00C92675">
        <w:trPr>
          <w:trHeight w:val="298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CCD22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sH</w:t>
            </w:r>
            <w:proofErr w:type="spellEnd"/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67920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sM</w:t>
            </w:r>
            <w:proofErr w:type="spellEnd"/>
          </w:p>
        </w:tc>
      </w:tr>
      <w:tr w:rsidR="00C92675" w:rsidRPr="00166A76" w14:paraId="34EF0357" w14:textId="77777777" w:rsidTr="00C92675">
        <w:trPr>
          <w:trHeight w:val="278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9D304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0E146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</w:tr>
      <w:tr w:rsidR="00C92675" w:rsidRPr="00166A76" w14:paraId="6C9FB78E" w14:textId="77777777" w:rsidTr="00C92675">
        <w:trPr>
          <w:trHeight w:val="278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FE0F8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650F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</w:p>
        </w:tc>
      </w:tr>
      <w:tr w:rsidR="00C92675" w:rsidRPr="00166A76" w14:paraId="45CDAC5B" w14:textId="77777777" w:rsidTr="00C92675">
        <w:trPr>
          <w:trHeight w:val="298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1AAE3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59A4F" w14:textId="77777777" w:rsidR="00C92675" w:rsidRPr="00166A76" w:rsidRDefault="00C92675" w:rsidP="00166A76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A76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</w:p>
        </w:tc>
      </w:tr>
    </w:tbl>
    <w:p w14:paraId="7E59E8DC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2. Виділити суб'єкти МЛВ (5і - ініціатор, 5ч - «мішень»)</w:t>
      </w:r>
    </w:p>
    <w:p w14:paraId="5A473CE7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3. Усвідомити, з яких позицій виступає кожен із суб'єктів МЛВ: Р, В, Д.</w:t>
      </w:r>
    </w:p>
    <w:p w14:paraId="79F842DB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4. З'ясувати спрямованість позиції кожного суб'єкта МЛВ та позначити стрілками у матриці.</w:t>
      </w:r>
    </w:p>
    <w:p w14:paraId="4429BCB3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5. По матриці визначити суму розбіжностей у позиціях.</w:t>
      </w:r>
    </w:p>
    <w:p w14:paraId="103903A9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6. Зробити висновок:</w:t>
      </w:r>
    </w:p>
    <w:p w14:paraId="764E1BB2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lastRenderedPageBreak/>
        <w:t>а) сума розбіжностей дорівнює нулю відсутність конфліктної ситуації;</w:t>
      </w:r>
    </w:p>
    <w:p w14:paraId="2D89696F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б) сума розбіжностей від однієї до чотирьох свідчить наявність конфліктної ситуації.</w:t>
      </w:r>
    </w:p>
    <w:p w14:paraId="0B9EA537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Приклади</w:t>
      </w:r>
    </w:p>
    <w:p w14:paraId="6034D2F2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1. На переговорах одна сторона заявляє іншу: «Ви зірвали нам постачання, в результаті ми зазнали відчутних втрат». Інша сторона: "Ні, це ви винні, затримавши передоплату".</w:t>
      </w:r>
    </w:p>
    <w:p w14:paraId="658D6EF2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481CD9AA" wp14:editId="15D7266D">
            <wp:extent cx="1485900" cy="962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61C5E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Сума розбіжностей становить чотири, що свідчить про серйозну конфліктну ситуацію між учасниками переговорів.</w:t>
      </w:r>
    </w:p>
    <w:p w14:paraId="7FDB35E9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2. Студент звертається до екзаменатора: «Чому ви поставили мені четвірку, а не п'ятірку?». Екзаменатор: "Давайте розберемося". І, використовуючи аргументи, доводить виставлену оцінку.</w:t>
      </w:r>
    </w:p>
    <w:p w14:paraId="17B01DEA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79E9EB00" wp14:editId="1DE9632D">
            <wp:extent cx="14859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84DA2" w14:textId="77777777" w:rsidR="00C92675" w:rsidRPr="00166A76" w:rsidRDefault="00C92675" w:rsidP="00166A7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6A76">
        <w:rPr>
          <w:rFonts w:ascii="Times New Roman" w:hAnsi="Times New Roman"/>
          <w:sz w:val="28"/>
          <w:szCs w:val="28"/>
          <w:lang w:val="uk-UA"/>
        </w:rPr>
        <w:t>Сума розбіжностей дорівнює нулю, що свідчить про відсутність конфліктної ситуації.</w:t>
      </w:r>
    </w:p>
    <w:p w14:paraId="54471F76" w14:textId="77777777" w:rsidR="00214728" w:rsidRPr="00166A76" w:rsidRDefault="00214728" w:rsidP="00166A7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14728" w:rsidRPr="0016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75"/>
    <w:rsid w:val="00166A76"/>
    <w:rsid w:val="00214728"/>
    <w:rsid w:val="00C92675"/>
    <w:rsid w:val="00CB43FC"/>
    <w:rsid w:val="00E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25CC"/>
  <w15:chartTrackingRefBased/>
  <w15:docId w15:val="{DE80CB05-E3A8-4DC2-B837-D1697FA3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67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986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2</cp:revision>
  <dcterms:created xsi:type="dcterms:W3CDTF">2023-03-27T19:11:00Z</dcterms:created>
  <dcterms:modified xsi:type="dcterms:W3CDTF">2023-03-27T19:11:00Z</dcterms:modified>
</cp:coreProperties>
</file>