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0F" w:rsidRPr="001A080F" w:rsidRDefault="001A080F" w:rsidP="001A080F">
      <w:pPr>
        <w:widowControl w:val="0"/>
        <w:autoSpaceDE w:val="0"/>
        <w:autoSpaceDN w:val="0"/>
        <w:spacing w:after="0" w:line="240" w:lineRule="auto"/>
        <w:ind w:left="850" w:right="8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0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питань, що виносяться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іспит</w:t>
      </w:r>
    </w:p>
    <w:p w:rsidR="001A080F" w:rsidRPr="001A080F" w:rsidRDefault="001A080F" w:rsidP="001A08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Соціальна політика в</w:t>
      </w:r>
      <w:r w:rsidRPr="001A08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Україні.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604"/>
          <w:tab w:val="left" w:pos="1605"/>
        </w:tabs>
        <w:autoSpaceDE w:val="0"/>
        <w:autoSpaceDN w:val="0"/>
        <w:spacing w:after="0" w:line="240" w:lineRule="auto"/>
        <w:ind w:left="116" w:right="133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Економічна необхідність запровадження соціального страхування в Україні.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Суть загальнообов’язкового державного соціального</w:t>
      </w:r>
      <w:r w:rsidRPr="001A080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Суб’єкти й об’єкти соціального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ind w:left="116" w:right="130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Роль системи соціального страхування в загальноекономічній політиці держави.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Види контролю за діяльністю соціальних</w:t>
      </w:r>
      <w:r w:rsidRPr="001A08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фондів.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4" w:after="0" w:line="240" w:lineRule="auto"/>
        <w:ind w:left="116" w:right="132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Відповідність законодавчої бази соціального страхування ринковим умовам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2626"/>
          <w:tab w:val="left" w:pos="4319"/>
          <w:tab w:val="left" w:pos="5710"/>
          <w:tab w:val="left" w:pos="6319"/>
          <w:tab w:val="left" w:pos="8602"/>
        </w:tabs>
        <w:autoSpaceDE w:val="0"/>
        <w:autoSpaceDN w:val="0"/>
        <w:spacing w:after="0" w:line="240" w:lineRule="auto"/>
        <w:ind w:left="116" w:right="135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Вплив</w:t>
      </w:r>
      <w:r w:rsidRPr="001A080F">
        <w:rPr>
          <w:rFonts w:ascii="Times New Roman" w:eastAsia="Times New Roman" w:hAnsi="Times New Roman" w:cs="Times New Roman"/>
          <w:sz w:val="28"/>
        </w:rPr>
        <w:tab/>
        <w:t>негативних</w:t>
      </w:r>
      <w:r w:rsidRPr="001A080F">
        <w:rPr>
          <w:rFonts w:ascii="Times New Roman" w:eastAsia="Times New Roman" w:hAnsi="Times New Roman" w:cs="Times New Roman"/>
          <w:sz w:val="28"/>
        </w:rPr>
        <w:tab/>
        <w:t>факторів</w:t>
      </w:r>
      <w:r w:rsidRPr="001A080F">
        <w:rPr>
          <w:rFonts w:ascii="Times New Roman" w:eastAsia="Times New Roman" w:hAnsi="Times New Roman" w:cs="Times New Roman"/>
          <w:sz w:val="28"/>
        </w:rPr>
        <w:tab/>
        <w:t>на</w:t>
      </w:r>
      <w:r w:rsidRPr="001A080F">
        <w:rPr>
          <w:rFonts w:ascii="Times New Roman" w:eastAsia="Times New Roman" w:hAnsi="Times New Roman" w:cs="Times New Roman"/>
          <w:sz w:val="28"/>
        </w:rPr>
        <w:tab/>
        <w:t>функціонування</w:t>
      </w:r>
      <w:r w:rsidRPr="001A080F">
        <w:rPr>
          <w:rFonts w:ascii="Times New Roman" w:eastAsia="Times New Roman" w:hAnsi="Times New Roman" w:cs="Times New Roman"/>
          <w:sz w:val="28"/>
        </w:rPr>
        <w:tab/>
      </w:r>
      <w:r w:rsidRPr="001A080F">
        <w:rPr>
          <w:rFonts w:ascii="Times New Roman" w:eastAsia="Times New Roman" w:hAnsi="Times New Roman" w:cs="Times New Roman"/>
          <w:spacing w:val="-3"/>
          <w:sz w:val="28"/>
        </w:rPr>
        <w:t xml:space="preserve">соціального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Пропозиції щодо удосконалення соціального</w:t>
      </w:r>
      <w:r w:rsidRPr="001A08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3273"/>
          <w:tab w:val="left" w:pos="3849"/>
          <w:tab w:val="left" w:pos="5935"/>
          <w:tab w:val="left" w:pos="7657"/>
          <w:tab w:val="left" w:pos="9071"/>
        </w:tabs>
        <w:autoSpaceDE w:val="0"/>
        <w:autoSpaceDN w:val="0"/>
        <w:spacing w:after="0" w:line="240" w:lineRule="auto"/>
        <w:ind w:left="116" w:right="136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Визначення</w:t>
      </w:r>
      <w:r w:rsidRPr="001A080F">
        <w:rPr>
          <w:rFonts w:ascii="Times New Roman" w:eastAsia="Times New Roman" w:hAnsi="Times New Roman" w:cs="Times New Roman"/>
          <w:sz w:val="28"/>
        </w:rPr>
        <w:tab/>
        <w:t>та</w:t>
      </w:r>
      <w:r w:rsidRPr="001A080F">
        <w:rPr>
          <w:rFonts w:ascii="Times New Roman" w:eastAsia="Times New Roman" w:hAnsi="Times New Roman" w:cs="Times New Roman"/>
          <w:sz w:val="28"/>
        </w:rPr>
        <w:tab/>
        <w:t>обґрунтування</w:t>
      </w:r>
      <w:r w:rsidRPr="001A080F">
        <w:rPr>
          <w:rFonts w:ascii="Times New Roman" w:eastAsia="Times New Roman" w:hAnsi="Times New Roman" w:cs="Times New Roman"/>
          <w:sz w:val="28"/>
        </w:rPr>
        <w:tab/>
        <w:t>доцільності</w:t>
      </w:r>
      <w:r w:rsidRPr="001A080F">
        <w:rPr>
          <w:rFonts w:ascii="Times New Roman" w:eastAsia="Times New Roman" w:hAnsi="Times New Roman" w:cs="Times New Roman"/>
          <w:sz w:val="28"/>
        </w:rPr>
        <w:tab/>
        <w:t>введення</w:t>
      </w:r>
      <w:r w:rsidRPr="001A080F">
        <w:rPr>
          <w:rFonts w:ascii="Times New Roman" w:eastAsia="Times New Roman" w:hAnsi="Times New Roman" w:cs="Times New Roman"/>
          <w:sz w:val="28"/>
        </w:rPr>
        <w:tab/>
      </w:r>
      <w:r w:rsidRPr="001A080F">
        <w:rPr>
          <w:rFonts w:ascii="Times New Roman" w:eastAsia="Times New Roman" w:hAnsi="Times New Roman" w:cs="Times New Roman"/>
          <w:spacing w:val="-3"/>
          <w:sz w:val="28"/>
        </w:rPr>
        <w:t xml:space="preserve">єдиного </w:t>
      </w:r>
      <w:r w:rsidRPr="001A080F">
        <w:rPr>
          <w:rFonts w:ascii="Times New Roman" w:eastAsia="Times New Roman" w:hAnsi="Times New Roman" w:cs="Times New Roman"/>
          <w:sz w:val="28"/>
        </w:rPr>
        <w:t>соціального податку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ind w:left="116" w:right="131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Гарантії</w:t>
      </w:r>
      <w:r w:rsidRPr="001A080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забезпечення</w:t>
      </w:r>
      <w:r w:rsidRPr="001A080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прав</w:t>
      </w:r>
      <w:r w:rsidRPr="001A08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застрахованим</w:t>
      </w:r>
      <w:r w:rsidRPr="001A080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у</w:t>
      </w:r>
      <w:r w:rsidRPr="001A080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страхуванні</w:t>
      </w:r>
      <w:r w:rsidRPr="001A080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від</w:t>
      </w:r>
      <w:r w:rsidRPr="001A080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нещасного випадку.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Добровільне страхування від нещасного випадку на</w:t>
      </w:r>
      <w:r w:rsidRPr="001A08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виробництві.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ind w:left="116" w:right="138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Сутність та значення соціального страхування тимчасової втрати працездатності.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2" w:lineRule="auto"/>
        <w:ind w:left="116" w:right="129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Суб’єкти</w:t>
      </w:r>
      <w:r w:rsidRPr="001A080F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соціального</w:t>
      </w:r>
      <w:r w:rsidRPr="001A080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</w:t>
      </w:r>
      <w:r w:rsidRPr="001A080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тимчасової</w:t>
      </w:r>
      <w:r w:rsidRPr="001A080F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втрати</w:t>
      </w:r>
      <w:r w:rsidRPr="001A080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працездатності</w:t>
      </w:r>
      <w:r w:rsidRPr="001A080F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та об’єкти нарахування соціального</w:t>
      </w:r>
      <w:r w:rsidRPr="001A08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збору.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ind w:left="116" w:right="131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Механізми розрахунків соціального збору та середньої заробітної плати як вихідної величина для розрахунку</w:t>
      </w:r>
      <w:r w:rsidRPr="001A08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виплат.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ind w:left="116" w:right="136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Фонд соціального страхування тимчасової втрати працездатності,</w:t>
      </w:r>
      <w:r w:rsidRPr="001A080F">
        <w:rPr>
          <w:rFonts w:ascii="Times New Roman" w:eastAsia="Times New Roman" w:hAnsi="Times New Roman" w:cs="Times New Roman"/>
          <w:spacing w:val="-5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його завдання, доходи та</w:t>
      </w:r>
      <w:r w:rsidRPr="001A080F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видатки.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2818"/>
          <w:tab w:val="left" w:pos="3197"/>
          <w:tab w:val="left" w:pos="4214"/>
          <w:tab w:val="left" w:pos="5907"/>
          <w:tab w:val="left" w:pos="7643"/>
          <w:tab w:val="left" w:pos="9235"/>
        </w:tabs>
        <w:autoSpaceDE w:val="0"/>
        <w:autoSpaceDN w:val="0"/>
        <w:spacing w:after="0" w:line="240" w:lineRule="auto"/>
        <w:ind w:left="116" w:right="135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Виплати</w:t>
      </w:r>
      <w:r w:rsidRPr="001A080F">
        <w:rPr>
          <w:rFonts w:ascii="Times New Roman" w:eastAsia="Times New Roman" w:hAnsi="Times New Roman" w:cs="Times New Roman"/>
          <w:sz w:val="28"/>
        </w:rPr>
        <w:tab/>
        <w:t>з</w:t>
      </w:r>
      <w:r w:rsidRPr="001A080F">
        <w:rPr>
          <w:rFonts w:ascii="Times New Roman" w:eastAsia="Times New Roman" w:hAnsi="Times New Roman" w:cs="Times New Roman"/>
          <w:sz w:val="28"/>
        </w:rPr>
        <w:tab/>
        <w:t>фонду</w:t>
      </w:r>
      <w:r w:rsidRPr="001A080F">
        <w:rPr>
          <w:rFonts w:ascii="Times New Roman" w:eastAsia="Times New Roman" w:hAnsi="Times New Roman" w:cs="Times New Roman"/>
          <w:sz w:val="28"/>
        </w:rPr>
        <w:tab/>
        <w:t>соціального</w:t>
      </w:r>
      <w:r w:rsidRPr="001A080F">
        <w:rPr>
          <w:rFonts w:ascii="Times New Roman" w:eastAsia="Times New Roman" w:hAnsi="Times New Roman" w:cs="Times New Roman"/>
          <w:sz w:val="28"/>
        </w:rPr>
        <w:tab/>
        <w:t>страхування</w:t>
      </w:r>
      <w:r w:rsidRPr="001A080F">
        <w:rPr>
          <w:rFonts w:ascii="Times New Roman" w:eastAsia="Times New Roman" w:hAnsi="Times New Roman" w:cs="Times New Roman"/>
          <w:sz w:val="28"/>
        </w:rPr>
        <w:tab/>
        <w:t>тимчасової</w:t>
      </w:r>
      <w:r w:rsidRPr="001A080F">
        <w:rPr>
          <w:rFonts w:ascii="Times New Roman" w:eastAsia="Times New Roman" w:hAnsi="Times New Roman" w:cs="Times New Roman"/>
          <w:sz w:val="28"/>
        </w:rPr>
        <w:tab/>
      </w:r>
      <w:r w:rsidRPr="001A080F">
        <w:rPr>
          <w:rFonts w:ascii="Times New Roman" w:eastAsia="Times New Roman" w:hAnsi="Times New Roman" w:cs="Times New Roman"/>
          <w:spacing w:val="-3"/>
          <w:sz w:val="28"/>
        </w:rPr>
        <w:t xml:space="preserve">втрати </w:t>
      </w:r>
      <w:r w:rsidRPr="001A080F">
        <w:rPr>
          <w:rFonts w:ascii="Times New Roman" w:eastAsia="Times New Roman" w:hAnsi="Times New Roman" w:cs="Times New Roman"/>
          <w:sz w:val="28"/>
        </w:rPr>
        <w:t>працездатності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ind w:left="116" w:right="132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Законодавчі акти, які регулюють соціальне страхування тимчасової втрати працездатності.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6610"/>
        </w:tabs>
        <w:autoSpaceDE w:val="0"/>
        <w:autoSpaceDN w:val="0"/>
        <w:spacing w:before="76" w:after="0" w:line="242" w:lineRule="auto"/>
        <w:ind w:left="116" w:right="137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 xml:space="preserve">Обчислення   соціальної </w:t>
      </w:r>
      <w:r w:rsidRPr="001A080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 xml:space="preserve">допомоги </w:t>
      </w:r>
      <w:r w:rsidRPr="001A080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при</w:t>
      </w:r>
      <w:r w:rsidRPr="001A080F">
        <w:rPr>
          <w:rFonts w:ascii="Times New Roman" w:eastAsia="Times New Roman" w:hAnsi="Times New Roman" w:cs="Times New Roman"/>
          <w:sz w:val="28"/>
        </w:rPr>
        <w:tab/>
        <w:t>соціальному страхуванні з тимчасової втрати</w:t>
      </w:r>
      <w:r w:rsidRPr="001A08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працездатності.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ind w:left="116" w:right="138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Засоби державного нагляду в сфері страхування тимчасової втрати працездатності.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2684"/>
          <w:tab w:val="left" w:pos="4214"/>
          <w:tab w:val="left" w:pos="4818"/>
          <w:tab w:val="left" w:pos="7154"/>
          <w:tab w:val="left" w:pos="8597"/>
        </w:tabs>
        <w:autoSpaceDE w:val="0"/>
        <w:autoSpaceDN w:val="0"/>
        <w:spacing w:after="0" w:line="240" w:lineRule="auto"/>
        <w:ind w:left="116" w:right="135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Права,</w:t>
      </w:r>
      <w:r w:rsidRPr="001A080F">
        <w:rPr>
          <w:rFonts w:ascii="Times New Roman" w:eastAsia="Times New Roman" w:hAnsi="Times New Roman" w:cs="Times New Roman"/>
          <w:sz w:val="28"/>
        </w:rPr>
        <w:tab/>
        <w:t>обов’язки</w:t>
      </w:r>
      <w:r w:rsidRPr="001A080F">
        <w:rPr>
          <w:rFonts w:ascii="Times New Roman" w:eastAsia="Times New Roman" w:hAnsi="Times New Roman" w:cs="Times New Roman"/>
          <w:sz w:val="28"/>
        </w:rPr>
        <w:tab/>
        <w:t>та</w:t>
      </w:r>
      <w:r w:rsidRPr="001A080F">
        <w:rPr>
          <w:rFonts w:ascii="Times New Roman" w:eastAsia="Times New Roman" w:hAnsi="Times New Roman" w:cs="Times New Roman"/>
          <w:sz w:val="28"/>
        </w:rPr>
        <w:tab/>
        <w:t>відповідальність</w:t>
      </w:r>
      <w:r w:rsidRPr="001A080F">
        <w:rPr>
          <w:rFonts w:ascii="Times New Roman" w:eastAsia="Times New Roman" w:hAnsi="Times New Roman" w:cs="Times New Roman"/>
          <w:sz w:val="28"/>
        </w:rPr>
        <w:tab/>
        <w:t>суб’єктів</w:t>
      </w:r>
      <w:r w:rsidRPr="001A080F">
        <w:rPr>
          <w:rFonts w:ascii="Times New Roman" w:eastAsia="Times New Roman" w:hAnsi="Times New Roman" w:cs="Times New Roman"/>
          <w:sz w:val="28"/>
        </w:rPr>
        <w:tab/>
        <w:t>соціального страхування: страховика, страхувальників та застрахованих</w:t>
      </w:r>
      <w:r w:rsidRPr="001A080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осіб.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ind w:left="116" w:right="137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Механізми фінансових розрахунків соціальних виплат безробітним громадянам.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Умови надання допомоги по</w:t>
      </w:r>
      <w:r w:rsidRPr="001A080F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безробіттю.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Управління Фондом соціального страхування на випадок</w:t>
      </w:r>
      <w:r w:rsidRPr="001A080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lastRenderedPageBreak/>
        <w:t>безробіття.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604"/>
          <w:tab w:val="left" w:pos="1605"/>
        </w:tabs>
        <w:autoSpaceDE w:val="0"/>
        <w:autoSpaceDN w:val="0"/>
        <w:spacing w:after="0" w:line="322" w:lineRule="exact"/>
        <w:ind w:left="1605" w:hanging="639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Державна служба зайнятості, її роль та</w:t>
      </w:r>
      <w:r w:rsidRPr="001A08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завдання.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Суть та значення соціального страхування на випадок</w:t>
      </w:r>
      <w:r w:rsidRPr="001A080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безробіття.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2693"/>
          <w:tab w:val="left" w:pos="4031"/>
          <w:tab w:val="left" w:pos="5086"/>
          <w:tab w:val="left" w:pos="6778"/>
          <w:tab w:val="left" w:pos="8514"/>
          <w:tab w:val="left" w:pos="9051"/>
        </w:tabs>
        <w:autoSpaceDE w:val="0"/>
        <w:autoSpaceDN w:val="0"/>
        <w:spacing w:after="0" w:line="240" w:lineRule="auto"/>
        <w:ind w:left="116" w:right="135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Доходи</w:t>
      </w:r>
      <w:r w:rsidRPr="001A080F">
        <w:rPr>
          <w:rFonts w:ascii="Times New Roman" w:eastAsia="Times New Roman" w:hAnsi="Times New Roman" w:cs="Times New Roman"/>
          <w:sz w:val="28"/>
        </w:rPr>
        <w:tab/>
        <w:t>бюджету</w:t>
      </w:r>
      <w:r w:rsidRPr="001A080F">
        <w:rPr>
          <w:rFonts w:ascii="Times New Roman" w:eastAsia="Times New Roman" w:hAnsi="Times New Roman" w:cs="Times New Roman"/>
          <w:sz w:val="28"/>
        </w:rPr>
        <w:tab/>
        <w:t>Фонду</w:t>
      </w:r>
      <w:r w:rsidRPr="001A080F">
        <w:rPr>
          <w:rFonts w:ascii="Times New Roman" w:eastAsia="Times New Roman" w:hAnsi="Times New Roman" w:cs="Times New Roman"/>
          <w:sz w:val="28"/>
        </w:rPr>
        <w:tab/>
        <w:t>соціального</w:t>
      </w:r>
      <w:r w:rsidRPr="001A080F">
        <w:rPr>
          <w:rFonts w:ascii="Times New Roman" w:eastAsia="Times New Roman" w:hAnsi="Times New Roman" w:cs="Times New Roman"/>
          <w:sz w:val="28"/>
        </w:rPr>
        <w:tab/>
        <w:t>страхування</w:t>
      </w:r>
      <w:r w:rsidRPr="001A080F">
        <w:rPr>
          <w:rFonts w:ascii="Times New Roman" w:eastAsia="Times New Roman" w:hAnsi="Times New Roman" w:cs="Times New Roman"/>
          <w:sz w:val="28"/>
        </w:rPr>
        <w:tab/>
        <w:t>на</w:t>
      </w:r>
      <w:r w:rsidRPr="001A080F">
        <w:rPr>
          <w:rFonts w:ascii="Times New Roman" w:eastAsia="Times New Roman" w:hAnsi="Times New Roman" w:cs="Times New Roman"/>
          <w:sz w:val="28"/>
        </w:rPr>
        <w:tab/>
        <w:t>випадок безробіття.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Розміри страхових внесків, порядок їх обчислення та строки</w:t>
      </w:r>
      <w:r w:rsidRPr="001A080F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сплати.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Відповідальність платників страхових</w:t>
      </w:r>
      <w:r w:rsidRPr="001A080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внесків.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2789"/>
          <w:tab w:val="left" w:pos="4107"/>
          <w:tab w:val="left" w:pos="5144"/>
          <w:tab w:val="left" w:pos="6824"/>
          <w:tab w:val="left" w:pos="8541"/>
          <w:tab w:val="left" w:pos="9063"/>
        </w:tabs>
        <w:autoSpaceDE w:val="0"/>
        <w:autoSpaceDN w:val="0"/>
        <w:spacing w:after="0" w:line="240" w:lineRule="auto"/>
        <w:ind w:left="116" w:right="128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Видатки</w:t>
      </w:r>
      <w:r w:rsidRPr="001A080F">
        <w:rPr>
          <w:rFonts w:ascii="Times New Roman" w:eastAsia="Times New Roman" w:hAnsi="Times New Roman" w:cs="Times New Roman"/>
          <w:sz w:val="28"/>
        </w:rPr>
        <w:tab/>
        <w:t>бюджету</w:t>
      </w:r>
      <w:r w:rsidRPr="001A080F">
        <w:rPr>
          <w:rFonts w:ascii="Times New Roman" w:eastAsia="Times New Roman" w:hAnsi="Times New Roman" w:cs="Times New Roman"/>
          <w:sz w:val="28"/>
        </w:rPr>
        <w:tab/>
        <w:t>Фонду</w:t>
      </w:r>
      <w:r w:rsidRPr="001A080F">
        <w:rPr>
          <w:rFonts w:ascii="Times New Roman" w:eastAsia="Times New Roman" w:hAnsi="Times New Roman" w:cs="Times New Roman"/>
          <w:sz w:val="28"/>
        </w:rPr>
        <w:tab/>
        <w:t>соціального</w:t>
      </w:r>
      <w:r w:rsidRPr="001A080F">
        <w:rPr>
          <w:rFonts w:ascii="Times New Roman" w:eastAsia="Times New Roman" w:hAnsi="Times New Roman" w:cs="Times New Roman"/>
          <w:sz w:val="28"/>
        </w:rPr>
        <w:tab/>
        <w:t>страхування</w:t>
      </w:r>
      <w:r w:rsidRPr="001A080F">
        <w:rPr>
          <w:rFonts w:ascii="Times New Roman" w:eastAsia="Times New Roman" w:hAnsi="Times New Roman" w:cs="Times New Roman"/>
          <w:sz w:val="28"/>
        </w:rPr>
        <w:tab/>
        <w:t>на</w:t>
      </w:r>
      <w:r w:rsidRPr="001A080F">
        <w:rPr>
          <w:rFonts w:ascii="Times New Roman" w:eastAsia="Times New Roman" w:hAnsi="Times New Roman" w:cs="Times New Roman"/>
          <w:sz w:val="28"/>
        </w:rPr>
        <w:tab/>
      </w:r>
      <w:r w:rsidRPr="001A080F">
        <w:rPr>
          <w:rFonts w:ascii="Times New Roman" w:eastAsia="Times New Roman" w:hAnsi="Times New Roman" w:cs="Times New Roman"/>
          <w:spacing w:val="-4"/>
          <w:sz w:val="28"/>
        </w:rPr>
        <w:t xml:space="preserve">випадок </w:t>
      </w:r>
      <w:r w:rsidRPr="001A080F">
        <w:rPr>
          <w:rFonts w:ascii="Times New Roman" w:eastAsia="Times New Roman" w:hAnsi="Times New Roman" w:cs="Times New Roman"/>
          <w:sz w:val="28"/>
        </w:rPr>
        <w:t>безробіття.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2689"/>
          <w:tab w:val="left" w:pos="3763"/>
          <w:tab w:val="left" w:pos="4128"/>
          <w:tab w:val="left" w:pos="5677"/>
          <w:tab w:val="left" w:pos="6939"/>
          <w:tab w:val="left" w:pos="8382"/>
          <w:tab w:val="left" w:pos="8785"/>
        </w:tabs>
        <w:autoSpaceDE w:val="0"/>
        <w:autoSpaceDN w:val="0"/>
        <w:spacing w:after="0" w:line="240" w:lineRule="auto"/>
        <w:ind w:left="116" w:right="135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Умови,</w:t>
      </w:r>
      <w:r w:rsidRPr="001A080F">
        <w:rPr>
          <w:rFonts w:ascii="Times New Roman" w:eastAsia="Times New Roman" w:hAnsi="Times New Roman" w:cs="Times New Roman"/>
          <w:sz w:val="28"/>
        </w:rPr>
        <w:tab/>
        <w:t>розмір</w:t>
      </w:r>
      <w:r w:rsidRPr="001A080F">
        <w:rPr>
          <w:rFonts w:ascii="Times New Roman" w:eastAsia="Times New Roman" w:hAnsi="Times New Roman" w:cs="Times New Roman"/>
          <w:sz w:val="28"/>
        </w:rPr>
        <w:tab/>
        <w:t>і</w:t>
      </w:r>
      <w:r w:rsidRPr="001A080F">
        <w:rPr>
          <w:rFonts w:ascii="Times New Roman" w:eastAsia="Times New Roman" w:hAnsi="Times New Roman" w:cs="Times New Roman"/>
          <w:sz w:val="28"/>
        </w:rPr>
        <w:tab/>
        <w:t>тривалість</w:t>
      </w:r>
      <w:r w:rsidRPr="001A080F">
        <w:rPr>
          <w:rFonts w:ascii="Times New Roman" w:eastAsia="Times New Roman" w:hAnsi="Times New Roman" w:cs="Times New Roman"/>
          <w:sz w:val="28"/>
        </w:rPr>
        <w:tab/>
        <w:t>виплати</w:t>
      </w:r>
      <w:r w:rsidRPr="001A080F">
        <w:rPr>
          <w:rFonts w:ascii="Times New Roman" w:eastAsia="Times New Roman" w:hAnsi="Times New Roman" w:cs="Times New Roman"/>
          <w:sz w:val="28"/>
        </w:rPr>
        <w:tab/>
        <w:t>допомоги</w:t>
      </w:r>
      <w:r w:rsidRPr="001A080F">
        <w:rPr>
          <w:rFonts w:ascii="Times New Roman" w:eastAsia="Times New Roman" w:hAnsi="Times New Roman" w:cs="Times New Roman"/>
          <w:sz w:val="28"/>
        </w:rPr>
        <w:tab/>
        <w:t>з</w:t>
      </w:r>
      <w:r w:rsidRPr="001A080F">
        <w:rPr>
          <w:rFonts w:ascii="Times New Roman" w:eastAsia="Times New Roman" w:hAnsi="Times New Roman" w:cs="Times New Roman"/>
          <w:sz w:val="28"/>
        </w:rPr>
        <w:tab/>
      </w:r>
      <w:r w:rsidRPr="001A080F">
        <w:rPr>
          <w:rFonts w:ascii="Times New Roman" w:eastAsia="Times New Roman" w:hAnsi="Times New Roman" w:cs="Times New Roman"/>
          <w:spacing w:val="-3"/>
          <w:sz w:val="28"/>
        </w:rPr>
        <w:t xml:space="preserve">безробіття </w:t>
      </w:r>
      <w:r w:rsidRPr="001A080F">
        <w:rPr>
          <w:rFonts w:ascii="Times New Roman" w:eastAsia="Times New Roman" w:hAnsi="Times New Roman" w:cs="Times New Roman"/>
          <w:sz w:val="28"/>
        </w:rPr>
        <w:t>застрахованим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особам.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Допомога з часткового</w:t>
      </w:r>
      <w:r w:rsidRPr="001A08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безробіття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Забезпечення незастрахованих осіб на випадок</w:t>
      </w:r>
      <w:r w:rsidRPr="001A08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безробіття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Управління страхуванням на випадок</w:t>
      </w:r>
      <w:r w:rsidRPr="001A08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безробіття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Економічна необхідність медичного</w:t>
      </w:r>
      <w:r w:rsidRPr="001A08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Суть та значення медичного</w:t>
      </w:r>
      <w:r w:rsidRPr="001A08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Суб’єкти та об’єкти медичного</w:t>
      </w:r>
      <w:r w:rsidRPr="001A08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3"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Форми медичного страхування та їх організаційні</w:t>
      </w:r>
      <w:r w:rsidRPr="001A080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особливості.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Поняття системи медичного</w:t>
      </w:r>
      <w:r w:rsidRPr="001A08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Нормативні акти, регулюючі медичне</w:t>
      </w:r>
      <w:r w:rsidRPr="001A080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  <w:tab w:val="left" w:pos="3110"/>
          <w:tab w:val="left" w:pos="4760"/>
          <w:tab w:val="left" w:pos="6477"/>
          <w:tab w:val="left" w:pos="8184"/>
          <w:tab w:val="left" w:pos="8750"/>
        </w:tabs>
        <w:autoSpaceDE w:val="0"/>
        <w:autoSpaceDN w:val="0"/>
        <w:spacing w:after="0" w:line="240" w:lineRule="auto"/>
        <w:ind w:left="116" w:right="135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Механізми</w:t>
      </w:r>
      <w:r w:rsidRPr="001A080F">
        <w:rPr>
          <w:rFonts w:ascii="Times New Roman" w:eastAsia="Times New Roman" w:hAnsi="Times New Roman" w:cs="Times New Roman"/>
          <w:sz w:val="28"/>
        </w:rPr>
        <w:tab/>
        <w:t>фінансових</w:t>
      </w:r>
      <w:r w:rsidRPr="001A080F">
        <w:rPr>
          <w:rFonts w:ascii="Times New Roman" w:eastAsia="Times New Roman" w:hAnsi="Times New Roman" w:cs="Times New Roman"/>
          <w:sz w:val="28"/>
        </w:rPr>
        <w:tab/>
        <w:t>розрахунків</w:t>
      </w:r>
      <w:r w:rsidRPr="001A080F">
        <w:rPr>
          <w:rFonts w:ascii="Times New Roman" w:eastAsia="Times New Roman" w:hAnsi="Times New Roman" w:cs="Times New Roman"/>
          <w:sz w:val="28"/>
        </w:rPr>
        <w:tab/>
        <w:t>відрахувань</w:t>
      </w:r>
      <w:r w:rsidRPr="001A080F">
        <w:rPr>
          <w:rFonts w:ascii="Times New Roman" w:eastAsia="Times New Roman" w:hAnsi="Times New Roman" w:cs="Times New Roman"/>
          <w:sz w:val="28"/>
        </w:rPr>
        <w:tab/>
        <w:t>до</w:t>
      </w:r>
      <w:r w:rsidRPr="001A080F">
        <w:rPr>
          <w:rFonts w:ascii="Times New Roman" w:eastAsia="Times New Roman" w:hAnsi="Times New Roman" w:cs="Times New Roman"/>
          <w:sz w:val="28"/>
        </w:rPr>
        <w:tab/>
      </w:r>
      <w:r w:rsidRPr="001A080F">
        <w:rPr>
          <w:rFonts w:ascii="Times New Roman" w:eastAsia="Times New Roman" w:hAnsi="Times New Roman" w:cs="Times New Roman"/>
          <w:spacing w:val="-3"/>
          <w:sz w:val="28"/>
        </w:rPr>
        <w:t xml:space="preserve">медичного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Удосконалення системи медичного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Необхідність впровадження соціального медичного</w:t>
      </w:r>
      <w:r w:rsidRPr="001A080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Зарубіжний досвід медичного</w:t>
      </w:r>
      <w:r w:rsidRPr="001A08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Виникнення в Україні лікарняних</w:t>
      </w:r>
      <w:r w:rsidRPr="001A080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кас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Становлення та розвиток медичного страхування в</w:t>
      </w:r>
      <w:r w:rsidRPr="001A08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Україні.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Обов’язкове медичне</w:t>
      </w:r>
      <w:r w:rsidRPr="001A080F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Добровільне медичне</w:t>
      </w:r>
      <w:r w:rsidRPr="001A080F">
        <w:rPr>
          <w:rFonts w:ascii="Times New Roman" w:eastAsia="Times New Roman" w:hAnsi="Times New Roman" w:cs="Times New Roman"/>
          <w:spacing w:val="-28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2" w:lineRule="auto"/>
        <w:ind w:left="116" w:right="138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Характеристика</w:t>
      </w:r>
      <w:r w:rsidRPr="001A08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сучасного</w:t>
      </w:r>
      <w:r w:rsidRPr="001A080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стану</w:t>
      </w:r>
      <w:r w:rsidRPr="001A080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медичного</w:t>
      </w:r>
      <w:r w:rsidRPr="001A080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обслуговування</w:t>
      </w:r>
      <w:r w:rsidRPr="001A08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населення України.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Перспективи розвитку соціального медичного</w:t>
      </w:r>
      <w:r w:rsidRPr="001A080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Переваги та недоліки сучасного медичного</w:t>
      </w:r>
      <w:r w:rsidRPr="001A08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Шляхи удосконалення медичного страхування в</w:t>
      </w:r>
      <w:r w:rsidRPr="001A08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Україні.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Суть та значення пенсійного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1A080F">
        <w:rPr>
          <w:rFonts w:ascii="Times New Roman" w:eastAsia="Times New Roman" w:hAnsi="Times New Roman" w:cs="Times New Roman"/>
          <w:sz w:val="28"/>
        </w:rPr>
        <w:t>Види пенсійного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5"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Діяльність Пенсійного фонду України, його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функції.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Сучасний стан пенсійного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604"/>
          <w:tab w:val="left" w:pos="1605"/>
          <w:tab w:val="left" w:pos="2924"/>
          <w:tab w:val="left" w:pos="4056"/>
          <w:tab w:val="left" w:pos="4622"/>
          <w:tab w:val="left" w:pos="6867"/>
          <w:tab w:val="left" w:pos="8473"/>
        </w:tabs>
        <w:autoSpaceDE w:val="0"/>
        <w:autoSpaceDN w:val="0"/>
        <w:spacing w:after="0" w:line="240" w:lineRule="auto"/>
        <w:ind w:left="116" w:right="128" w:firstLine="850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Фактори</w:t>
      </w:r>
      <w:r w:rsidRPr="001A080F">
        <w:rPr>
          <w:rFonts w:ascii="Times New Roman" w:eastAsia="Times New Roman" w:hAnsi="Times New Roman" w:cs="Times New Roman"/>
          <w:sz w:val="28"/>
        </w:rPr>
        <w:tab/>
        <w:t>впливу</w:t>
      </w:r>
      <w:r w:rsidRPr="001A080F">
        <w:rPr>
          <w:rFonts w:ascii="Times New Roman" w:eastAsia="Times New Roman" w:hAnsi="Times New Roman" w:cs="Times New Roman"/>
          <w:sz w:val="28"/>
        </w:rPr>
        <w:tab/>
        <w:t>на</w:t>
      </w:r>
      <w:r w:rsidRPr="001A080F">
        <w:rPr>
          <w:rFonts w:ascii="Times New Roman" w:eastAsia="Times New Roman" w:hAnsi="Times New Roman" w:cs="Times New Roman"/>
          <w:sz w:val="28"/>
        </w:rPr>
        <w:tab/>
        <w:t>функціонування</w:t>
      </w:r>
      <w:r w:rsidRPr="001A080F">
        <w:rPr>
          <w:rFonts w:ascii="Times New Roman" w:eastAsia="Times New Roman" w:hAnsi="Times New Roman" w:cs="Times New Roman"/>
          <w:sz w:val="28"/>
        </w:rPr>
        <w:tab/>
        <w:t>пенсійного</w:t>
      </w:r>
      <w:r w:rsidRPr="001A080F">
        <w:rPr>
          <w:rFonts w:ascii="Times New Roman" w:eastAsia="Times New Roman" w:hAnsi="Times New Roman" w:cs="Times New Roman"/>
          <w:sz w:val="28"/>
        </w:rPr>
        <w:tab/>
        <w:t>страхування: демографічні, економічні та організаційні.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Удосконалення системи пенсійного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Суть та значення пенсійного</w:t>
      </w:r>
      <w:r w:rsidRPr="001A08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lastRenderedPageBreak/>
        <w:t>Платники пенсійного збору. Ставки пенсійного</w:t>
      </w:r>
      <w:r w:rsidRPr="001A08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збору.</w:t>
      </w:r>
    </w:p>
    <w:p w:rsidR="001A080F" w:rsidRPr="001A080F" w:rsidRDefault="001A080F" w:rsidP="001A080F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A080F">
        <w:rPr>
          <w:rFonts w:ascii="Times New Roman" w:eastAsia="Times New Roman" w:hAnsi="Times New Roman" w:cs="Times New Roman"/>
          <w:sz w:val="28"/>
        </w:rPr>
        <w:t>Удосконалення системи пенсійного</w:t>
      </w:r>
      <w:r w:rsidRPr="001A08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080F">
        <w:rPr>
          <w:rFonts w:ascii="Times New Roman" w:eastAsia="Times New Roman" w:hAnsi="Times New Roman" w:cs="Times New Roman"/>
          <w:sz w:val="28"/>
        </w:rPr>
        <w:t>страхування</w:t>
      </w:r>
    </w:p>
    <w:p w:rsidR="004F7930" w:rsidRDefault="004F7930"/>
    <w:sectPr w:rsidR="004F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33182"/>
    <w:multiLevelType w:val="hybridMultilevel"/>
    <w:tmpl w:val="05502D36"/>
    <w:lvl w:ilvl="0" w:tplc="E1B6AEB2">
      <w:start w:val="1"/>
      <w:numFmt w:val="decimal"/>
      <w:lvlText w:val="%1.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uk-UA" w:eastAsia="en-US" w:bidi="ar-SA"/>
      </w:rPr>
    </w:lvl>
    <w:lvl w:ilvl="1" w:tplc="57A0EA7C">
      <w:start w:val="1"/>
      <w:numFmt w:val="decimal"/>
      <w:lvlText w:val="%2."/>
      <w:lvlJc w:val="left"/>
      <w:pPr>
        <w:ind w:left="1533" w:hanging="567"/>
        <w:jc w:val="left"/>
      </w:pPr>
      <w:rPr>
        <w:rFonts w:hint="default"/>
        <w:b/>
        <w:bCs/>
        <w:w w:val="59"/>
        <w:lang w:val="uk-UA" w:eastAsia="en-US" w:bidi="ar-SA"/>
      </w:rPr>
    </w:lvl>
    <w:lvl w:ilvl="2" w:tplc="1DCEAE84">
      <w:start w:val="7"/>
      <w:numFmt w:val="decimal"/>
      <w:lvlText w:val="%3."/>
      <w:lvlJc w:val="left"/>
      <w:pPr>
        <w:ind w:left="1820" w:hanging="283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uk-UA" w:eastAsia="en-US" w:bidi="ar-SA"/>
      </w:rPr>
    </w:lvl>
    <w:lvl w:ilvl="3" w:tplc="98E40E7C">
      <w:numFmt w:val="bullet"/>
      <w:lvlText w:val="•"/>
      <w:lvlJc w:val="left"/>
      <w:pPr>
        <w:ind w:left="2863" w:hanging="283"/>
      </w:pPr>
      <w:rPr>
        <w:rFonts w:hint="default"/>
        <w:lang w:val="uk-UA" w:eastAsia="en-US" w:bidi="ar-SA"/>
      </w:rPr>
    </w:lvl>
    <w:lvl w:ilvl="4" w:tplc="27DEC9D6">
      <w:numFmt w:val="bullet"/>
      <w:lvlText w:val="•"/>
      <w:lvlJc w:val="left"/>
      <w:pPr>
        <w:ind w:left="3906" w:hanging="283"/>
      </w:pPr>
      <w:rPr>
        <w:rFonts w:hint="default"/>
        <w:lang w:val="uk-UA" w:eastAsia="en-US" w:bidi="ar-SA"/>
      </w:rPr>
    </w:lvl>
    <w:lvl w:ilvl="5" w:tplc="AA28615E">
      <w:numFmt w:val="bullet"/>
      <w:lvlText w:val="•"/>
      <w:lvlJc w:val="left"/>
      <w:pPr>
        <w:ind w:left="4949" w:hanging="283"/>
      </w:pPr>
      <w:rPr>
        <w:rFonts w:hint="default"/>
        <w:lang w:val="uk-UA" w:eastAsia="en-US" w:bidi="ar-SA"/>
      </w:rPr>
    </w:lvl>
    <w:lvl w:ilvl="6" w:tplc="C6846D70">
      <w:numFmt w:val="bullet"/>
      <w:lvlText w:val="•"/>
      <w:lvlJc w:val="left"/>
      <w:pPr>
        <w:ind w:left="5992" w:hanging="283"/>
      </w:pPr>
      <w:rPr>
        <w:rFonts w:hint="default"/>
        <w:lang w:val="uk-UA" w:eastAsia="en-US" w:bidi="ar-SA"/>
      </w:rPr>
    </w:lvl>
    <w:lvl w:ilvl="7" w:tplc="EA06825A">
      <w:numFmt w:val="bullet"/>
      <w:lvlText w:val="•"/>
      <w:lvlJc w:val="left"/>
      <w:pPr>
        <w:ind w:left="7035" w:hanging="283"/>
      </w:pPr>
      <w:rPr>
        <w:rFonts w:hint="default"/>
        <w:lang w:val="uk-UA" w:eastAsia="en-US" w:bidi="ar-SA"/>
      </w:rPr>
    </w:lvl>
    <w:lvl w:ilvl="8" w:tplc="329CD560">
      <w:numFmt w:val="bullet"/>
      <w:lvlText w:val="•"/>
      <w:lvlJc w:val="left"/>
      <w:pPr>
        <w:ind w:left="8078" w:hanging="28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BB"/>
    <w:rsid w:val="001A080F"/>
    <w:rsid w:val="00217CC5"/>
    <w:rsid w:val="004E3E12"/>
    <w:rsid w:val="004F7930"/>
    <w:rsid w:val="00C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13B3"/>
  <w15:chartTrackingRefBased/>
  <w15:docId w15:val="{ACF33DF3-0112-4EDE-82BC-D01A91C5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2380</Words>
  <Characters>1358</Characters>
  <Application>Microsoft Office Word</Application>
  <DocSecurity>0</DocSecurity>
  <Lines>11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Силина</dc:creator>
  <cp:keywords/>
  <dc:description/>
  <cp:lastModifiedBy>Ирина Силина</cp:lastModifiedBy>
  <cp:revision>3</cp:revision>
  <dcterms:created xsi:type="dcterms:W3CDTF">2020-10-07T17:27:00Z</dcterms:created>
  <dcterms:modified xsi:type="dcterms:W3CDTF">2020-10-07T17:28:00Z</dcterms:modified>
</cp:coreProperties>
</file>