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E53" w:rsidRPr="00F84E53" w:rsidRDefault="00F84E53" w:rsidP="00294DC0">
      <w:pPr>
        <w:spacing w:line="240" w:lineRule="atLeast"/>
        <w:jc w:val="both"/>
        <w:rPr>
          <w:rFonts w:cs="Times New Roman"/>
          <w:b/>
          <w:sz w:val="28"/>
          <w:szCs w:val="28"/>
          <w:lang w:val="ru-RU" w:eastAsia="ru-RU"/>
        </w:rPr>
      </w:pPr>
      <w:r w:rsidRPr="00F84E53">
        <w:rPr>
          <w:rFonts w:cs="Times New Roman"/>
          <w:b/>
          <w:sz w:val="28"/>
          <w:szCs w:val="28"/>
          <w:lang w:val="ru-RU" w:eastAsia="ru-RU"/>
        </w:rPr>
        <w:t xml:space="preserve"> Тема 5-6. Структура управління вищим навчальним закладом</w:t>
      </w:r>
      <w:bookmarkStart w:id="0" w:name="_GoBack"/>
      <w:bookmarkEnd w:id="0"/>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Управління вищим навчальним закладом вимагає вирішення стратегічних, практичних та оперативних завдань.</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i/>
          <w:iCs/>
          <w:sz w:val="28"/>
          <w:szCs w:val="28"/>
          <w:lang w:val="ru-RU" w:eastAsia="ru-RU"/>
        </w:rPr>
        <w:t>Стратегічні завдання управління</w:t>
      </w:r>
      <w:r w:rsidRPr="00F84E53">
        <w:rPr>
          <w:rFonts w:cs="Times New Roman"/>
          <w:sz w:val="28"/>
          <w:szCs w:val="28"/>
          <w:lang w:val="ru-RU" w:eastAsia="ru-RU"/>
        </w:rPr>
        <w:t> визначаються дов- готривалістю наслідків, істотним впливом на всі напрями діяльності вищого навчального закладу. Прикладами стратегічних управлінських завдань є відкриття нових спеціальностей, кафедр, факультетів, філіалів, будівництво приміщень, придбання дорогого навчального обладнання тощо. До стратегічних завдань управління належить також розроблення і впровадження принципів і правил оплати праці та додаткових заохочень, підбору кадрів, розподіл фінансових потоків тощо.</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i/>
          <w:iCs/>
          <w:sz w:val="28"/>
          <w:szCs w:val="28"/>
          <w:lang w:val="ru-RU" w:eastAsia="ru-RU"/>
        </w:rPr>
        <w:t>Практичні завдання управління</w:t>
      </w:r>
      <w:r w:rsidRPr="00F84E53">
        <w:rPr>
          <w:rFonts w:cs="Times New Roman"/>
          <w:sz w:val="28"/>
          <w:szCs w:val="28"/>
          <w:lang w:val="ru-RU" w:eastAsia="ru-RU"/>
        </w:rPr>
        <w:t> вирізняються конкретною прив'язкою до часу виконання. Це складання річних робочих планів, семестрового розкладу, планів ремонту, розподіл навчального навантаження між викладачами, друкування навчальних посібників та ін.</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i/>
          <w:iCs/>
          <w:sz w:val="28"/>
          <w:szCs w:val="28"/>
          <w:lang w:val="ru-RU" w:eastAsia="ru-RU"/>
        </w:rPr>
        <w:t>Оперативні завдання управління</w:t>
      </w:r>
      <w:r w:rsidRPr="00F84E53">
        <w:rPr>
          <w:rFonts w:cs="Times New Roman"/>
          <w:sz w:val="28"/>
          <w:szCs w:val="28"/>
          <w:lang w:val="ru-RU" w:eastAsia="ru-RU"/>
        </w:rPr>
        <w:t> вирішуються кожного дня і пов'язані із забезпеченням процесу життя вищого навчального закладу.</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Безпосереднє управління діяльністю вищого навчального закладу здійснює його керівник – </w:t>
      </w:r>
      <w:r w:rsidRPr="00F84E53">
        <w:rPr>
          <w:rFonts w:cs="Times New Roman"/>
          <w:i/>
          <w:iCs/>
          <w:sz w:val="28"/>
          <w:szCs w:val="28"/>
          <w:lang w:val="ru-RU" w:eastAsia="ru-RU"/>
        </w:rPr>
        <w:t>ректор (президент).</w:t>
      </w:r>
      <w:r w:rsidRPr="00F84E53">
        <w:rPr>
          <w:rFonts w:cs="Times New Roman"/>
          <w:sz w:val="28"/>
          <w:szCs w:val="28"/>
          <w:lang w:val="ru-RU" w:eastAsia="ru-RU"/>
        </w:rPr>
        <w:t> Він у межах наданих йому повноважень вирішує усі питання діяльності вищого навчального закладу: затверджує його структуру і штатний розпис; видає накази і розпорядження, обов'язкові для виконання всіма працівниками і структурними підрозділами вищого навчального закладу; представляє вищий навчальний заклад у державних та інших органах, відповідає за результати його діяльності перед органом управління, у підпорядкуванні якого перебуває вищий навчальний заклад; є розпорядником майна і коштів; виконує кошторис, укладає угоди, дає доручення, відкриває банківські рахунки; приймає на роботу та звільняє з роботи працівників; забезпечує охорону праці, дотримання законності та порядку; визначає функціональні обов'язки працівників; формує контингент осіб, які навчаються у вищому навчальному закладі; відраховує та поновлює на навчання осіб, які навчаються у вищому навчальному закладі; контролює виконання навчальних планів і програм; контролює дотримання всіма підрозділами штатно-фінансової дисципліни; забезпечує дотримання службової та державної таємниці; здійснює контроль за якістю роботи викладачів, організацією навчально-виховної та культурно-масової роботи, станом фізичного виховання і здоров'я; організовує побутове обслуговування учасників навчально-виховного процесу та інших працівників вищого навчального закладу; разом із профспілковими організаціями подає на затвердження вищому колегіальному органу громадського самоврядування вищого навчального закладу правила внутрішнього розпорядку та колективний договір і після затвердження підписує його.</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 xml:space="preserve">Керівник вищого навчального закладу відповідає за провадження освітньої діяльності у вищому навчальному закладі, за результати фінансово-господарської діяльності, стан і збереження будівель та іншого майна. Для вирішення основних питань діяльності відповідно до Статуту він створює </w:t>
      </w:r>
      <w:r w:rsidRPr="00F84E53">
        <w:rPr>
          <w:rFonts w:cs="Times New Roman"/>
          <w:sz w:val="28"/>
          <w:szCs w:val="28"/>
          <w:lang w:val="ru-RU" w:eastAsia="ru-RU"/>
        </w:rPr>
        <w:lastRenderedPageBreak/>
        <w:t>робочі та дорадчі органи, а також визначає їх повноваження. Згідно зі Статутом він може делегувати частину своїх повноважень своїм заступникам і керівникам структурних підрозділів.</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 xml:space="preserve">Керівник вищого навчального закладу щорічно звітує перед власником (власниками) або уповноваженим ним (ними) органом (особою) та вищим колегіальним органом громадського самоврядування вищого навчального закладу. Він несе повну відповідальність за результати діяльності ВНЗ і діє відповідно до існуючого законодавства від імені вищого навчального закладу, представляє його у всіх органах, установах і підприємствах. </w:t>
      </w:r>
      <w:proofErr w:type="gramStart"/>
      <w:r w:rsidRPr="00F84E53">
        <w:rPr>
          <w:rFonts w:cs="Times New Roman"/>
          <w:sz w:val="28"/>
          <w:szCs w:val="28"/>
          <w:lang w:val="ru-RU" w:eastAsia="ru-RU"/>
        </w:rPr>
        <w:t>У межах</w:t>
      </w:r>
      <w:proofErr w:type="gramEnd"/>
      <w:r w:rsidRPr="00F84E53">
        <w:rPr>
          <w:rFonts w:cs="Times New Roman"/>
          <w:sz w:val="28"/>
          <w:szCs w:val="28"/>
          <w:lang w:val="ru-RU" w:eastAsia="ru-RU"/>
        </w:rPr>
        <w:t xml:space="preserve"> своєї компетенції видає накази, обов'язкові для виконання всіма працівниками і студентами.</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У демократичній моделі ректор управляє через консультації, делегування рішень і експертний аналіз варіантів дій.</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Керівництво факультетом здійснює </w:t>
      </w:r>
      <w:r w:rsidRPr="00F84E53">
        <w:rPr>
          <w:rFonts w:cs="Times New Roman"/>
          <w:i/>
          <w:iCs/>
          <w:sz w:val="28"/>
          <w:szCs w:val="28"/>
          <w:lang w:val="ru-RU" w:eastAsia="ru-RU"/>
        </w:rPr>
        <w:t>декан.</w:t>
      </w:r>
      <w:r w:rsidRPr="00F84E53">
        <w:rPr>
          <w:rFonts w:cs="Times New Roman"/>
          <w:sz w:val="28"/>
          <w:szCs w:val="28"/>
          <w:lang w:val="ru-RU" w:eastAsia="ru-RU"/>
        </w:rPr>
        <w:t> Він організовує виконання розпоряджень адміністрації ВНЗ і контролює хід її виконання, підготовку і реалізацію навчальних планів і навчальних програм, контролює якість їх виконання; керує складанням розкладу навчальних занять і здійснює контроль за його виконанням; здійснює контроль за навчальним процесом, використанням технічних засобів і технологій навчання; управляє прийомом на перший курс, формує академічні групи; організовує цільове і контрактне навчання студентів; організовує облік успішності студентів, представляє студентів до переведення на наступний курс, допускає до складання державних іспитів і захисту дипломних робіт (проектів); представляє студентів на призначення стипендій і надбавок до них, на академічну відпустку, на індивідуальний графік навчання, на відчислення із ВНЗ; контролює виконання науково-дослідної і пошуково-конструкторської робіт, якість їх виконання, використання їх результатів для вдосконалення навчального процесу; розподіляє бюджетні засоби із наукової тематики; визначає контингент аспірантів; організовує роботу державних атестаційних і екзаменаційних комісій, представляє склад дисертаційних рад, контролює якість підготовки аспірантів, докторантів, стажерів і пошукувачів; розвиває форми самоврядування серед студентів факультету, підтримує зв'язки з громадськими організаціями; проводить роботу із сприяння працевлаштуванню випускників; управляє формуванням штатного складу завідуючих кафедрами, викладачів, навчально-допоміжного і науково-дослідного персоналу; організовує атестацію персоналу; контролює навчальне навантаження викладацького складу і якість його виконання; здійснює планування видання навчальної і методичної літератури, контролює рівень методичного забезпечення на кафедрах; видає вказівки і розпорядження по факультету,</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Декан видає розпорядження, що стосуються діяльності факультету. Вони є обов'язковими для виконання всіма працівниками факультету і можуть бути скасованими лише керівником вищого навчального закладу, якщо суперечать закону, статутові чи завдають шкоди інтересам вищого навчального закладу.</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lastRenderedPageBreak/>
        <w:t>Керівництво кафедрою здійснює </w:t>
      </w:r>
      <w:r w:rsidRPr="00F84E53">
        <w:rPr>
          <w:rFonts w:cs="Times New Roman"/>
          <w:i/>
          <w:iCs/>
          <w:sz w:val="28"/>
          <w:szCs w:val="28"/>
          <w:lang w:val="ru-RU" w:eastAsia="ru-RU"/>
        </w:rPr>
        <w:t>завідувач.</w:t>
      </w:r>
      <w:r w:rsidRPr="00F84E53">
        <w:rPr>
          <w:rFonts w:cs="Times New Roman"/>
          <w:sz w:val="28"/>
          <w:szCs w:val="28"/>
          <w:lang w:val="ru-RU" w:eastAsia="ru-RU"/>
        </w:rPr>
        <w:t> Він організовує підготовку і реалізацію навчальних планів і навчальних програм, контролює якість їх виконання; керує розподілом навантаження викладачів кафедри і контролює його; здійснює контроль за навчальним процесом, використанням технічних засобів і технологій навчання; бере участь у прийомі на перший курс, формуванні академічних груп; організовує цільове і контрактне навчання студентів кафедри; допускає до складання державних іспитів і захисту дипломних робіт (проектів); узгоджує представлення студентів на академічну відпустку, на індивідуальний графік навчання, на відрахування з ВНЗ; контролює виконання науково-дослідних і пошуково-конструкторних робіт, якість їх виконання, використання їх результатів для вдосконалення навчального процесу; визначає контингент аспірантів, докторантів, стажерів і пошукувачів кафедри; розвиває форми самоврядування серед студентів кафедри, підтримує зв'язки з громадськими організаціями; проводить роботу по сприянню працевлаштування випускників, організує підтримку зв'язків з випускниками; управляє формуванням штатного складу кафедри (викладацьким, навчально-допоміжним і науково-дослідним персоналом); проводить засідання кафедри при підготовці конкурсного обрання викладачів і наукових працівників; здійснює планування видання навчальної і методичної літератури та ін.</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Проаналізувавши особливості управлінської діяльності, психолог В. Третьяченко сформулював специфічні чинники, що об'єднують низку диференційованих якостей і утворюють модель особистісних якостей керівника.</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1. Адапційна мобільність. Це чинник, який визначає роль і місце особистості в динаміці міжособистісної взаємодії у малих соціальних групах, її соціометричний статус та позицію у функціональній структурі ділових відносин (прагнення впливати на інших, схильність до безперервних якісних змін умов праці, здатність протистояти дестабілізуючому впливу негативних форм поведінки тощо).</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2. Емоційне лідерство. Воно передбачає домінування по "вертикалі" і "горизонталі" у неформальних групах усередині організаційної структури та ділове лідерство у неформальній групі свого підрозділу при розв'язанні більшості проблемних ситуацій.</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3. Здатність до інтеграції соціальних функцій (ролей). Вона характеризується пристосуванням своєї поведінки до рольових очікувань інших учасників соціального контакту (вміння бути і формальним емоційним лідером, і адміністратором, регламентованим посадовими інструкціями, правовими установами та неформальними нормами, які склались у певній організації).</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xml:space="preserve">4. Контактність. Це здатність до встановлення позитивних соціальних контактів. Її зумовлюють такі соціально-психологічні властивості особистості, як "відкритий" характер у спілкуванні, прагнення до поінформованості, високий рівень домагань, честолюбне прагнення до утвердження своєї особистості, здатність встановлювати ділові зв'язки, здатність вислуховувати </w:t>
      </w:r>
      <w:r w:rsidRPr="00F84E53">
        <w:rPr>
          <w:rFonts w:cs="Times New Roman"/>
          <w:color w:val="242424"/>
          <w:sz w:val="28"/>
          <w:szCs w:val="28"/>
          <w:lang w:val="ru-RU" w:eastAsia="ru-RU"/>
        </w:rPr>
        <w:lastRenderedPageBreak/>
        <w:t xml:space="preserve">та переконувати, схиляти людей </w:t>
      </w:r>
      <w:proofErr w:type="gramStart"/>
      <w:r w:rsidRPr="00F84E53">
        <w:rPr>
          <w:rFonts w:cs="Times New Roman"/>
          <w:color w:val="242424"/>
          <w:sz w:val="28"/>
          <w:szCs w:val="28"/>
          <w:lang w:val="ru-RU" w:eastAsia="ru-RU"/>
        </w:rPr>
        <w:t>до себе</w:t>
      </w:r>
      <w:proofErr w:type="gramEnd"/>
      <w:r w:rsidRPr="00F84E53">
        <w:rPr>
          <w:rFonts w:cs="Times New Roman"/>
          <w:color w:val="242424"/>
          <w:sz w:val="28"/>
          <w:szCs w:val="28"/>
          <w:lang w:val="ru-RU" w:eastAsia="ru-RU"/>
        </w:rPr>
        <w:t>, вміння поглянути на конфліктну ситуацію очима тих, хто конфліктує тощо.</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5. Стійкість до стресу. Управлінська діяльність висуває високі вимоги до вольових та емоційних регуляторних механізмів у структурі поведінки та діяльності керівника. При кожному вольовому напруженні відбуваються емоційні перенапруження, що призводить, з одного боку, до зривів, неврозів та інших захворювань, а з іншого – як компенсаторна реакція у людини з'являються прагнення всупереч ситуації та логіці приймати рішення за виробленими заздалегідь алгоритмами, які не можна застосовувати у певній ситуації.</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Ці якості, на думку В. Третьяченка, забезпечують управлінську діяльність, яка виявляється в когнітивній, емоційно-комунікативній та регулятивній функціях, що доводять ідентичність складу управлінської діяльності та психіки (психологічної структури) особистості керівника.</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Американські дослідники пропонують таку модель особистісних якостей керівника:</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1) яскраво виражена здатність до стратегічного планування та прогнозування;</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2) прийняття правильних і своєчасних перспективних рішень про виділення та розподіл ресурсів;</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xml:space="preserve">3) прагнення збільшити кількість своїх обов'язків шляхом розширення масштабів діяльності або переходу </w:t>
      </w:r>
      <w:proofErr w:type="gramStart"/>
      <w:r w:rsidRPr="00F84E53">
        <w:rPr>
          <w:rFonts w:cs="Times New Roman"/>
          <w:color w:val="242424"/>
          <w:sz w:val="28"/>
          <w:szCs w:val="28"/>
          <w:lang w:val="ru-RU" w:eastAsia="ru-RU"/>
        </w:rPr>
        <w:t>на роботу</w:t>
      </w:r>
      <w:proofErr w:type="gramEnd"/>
      <w:r w:rsidRPr="00F84E53">
        <w:rPr>
          <w:rFonts w:cs="Times New Roman"/>
          <w:color w:val="242424"/>
          <w:sz w:val="28"/>
          <w:szCs w:val="28"/>
          <w:lang w:val="ru-RU" w:eastAsia="ru-RU"/>
        </w:rPr>
        <w:t xml:space="preserve"> вищого рівня;</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xml:space="preserve">4) уміння приймати творчі та раціональні пропозиції </w:t>
      </w:r>
      <w:proofErr w:type="gramStart"/>
      <w:r w:rsidRPr="00F84E53">
        <w:rPr>
          <w:rFonts w:cs="Times New Roman"/>
          <w:color w:val="242424"/>
          <w:sz w:val="28"/>
          <w:szCs w:val="28"/>
          <w:lang w:val="ru-RU" w:eastAsia="ru-RU"/>
        </w:rPr>
        <w:t>за умов</w:t>
      </w:r>
      <w:proofErr w:type="gramEnd"/>
      <w:r w:rsidRPr="00F84E53">
        <w:rPr>
          <w:rFonts w:cs="Times New Roman"/>
          <w:color w:val="242424"/>
          <w:sz w:val="28"/>
          <w:szCs w:val="28"/>
          <w:lang w:val="ru-RU" w:eastAsia="ru-RU"/>
        </w:rPr>
        <w:t xml:space="preserve"> високого ступеня ризику. Уникнення тривалого перебування у "зоні комфорту";</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5) упевненість у власних силах, сприйняття невдач як тимчасових негараздів;</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6) прагнення мати значні права і, відповідно, нести відповідальність. Самонавчання в кабінетах і навчання з керівниками вищого рівня;</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7) висока схильність до інтуїтивного передбачення та абстрактного аналізу розвитку складних процесів і критичних ситуацій;</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8) використання максимальної кількості здібностей та сил у роботі. Внутрішнє оцінювання власних дій, уникнення постійного узгодження їх з оточенням;</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9) концентрація уваги на розв'язанні проблеми, а не на виявленні винуватців; бажання працювати з підлеглими, які не бояться ризику та вміють приймати самостійні рішення;</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10) власницьке ставлення до реалізованих ідей та результатів їх упровадження; використання за критичних умов перевірених ідей; економія часу при обґрунтуванні та підготовці рішень.</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Проаналізувавши вітчизняну та зарубіжну психологічну літературу, Л. Орбан-Лембрик виділяє суб'єктивні чинники, які утруднюють і стримують управлінську діяльність:</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1) невміння керувати собою, незнання своїх психофізіологічних можливостей, соціально-професійного потенціалу, що призводить до нездатності справлятися зі стресами, які виникають у житті управлінців, керувати собою і максимально ефективно використовувати свій потенціал;</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xml:space="preserve">2) нечіткі особисті цінності, які є причиною того, що керівнику не вистачить підстав для суджень, які можуть сприйматися оточенням як необґрунтовані. </w:t>
      </w:r>
      <w:r w:rsidRPr="00F84E53">
        <w:rPr>
          <w:rFonts w:cs="Times New Roman"/>
          <w:color w:val="242424"/>
          <w:sz w:val="28"/>
          <w:szCs w:val="28"/>
          <w:lang w:val="ru-RU" w:eastAsia="ru-RU"/>
        </w:rPr>
        <w:lastRenderedPageBreak/>
        <w:t>Ефективна концепція управління загалом орієнтована на такі цінності, як успішність, реалізація потенціалу працівників, висока готовність до нововведень тощо;</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3) невиразні особисті цілі, за яких керівники рідко досягають успіху. Вони не можуть оцінити успіх інших, оскільки обмежені нечіткістю особистих цілей;</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4) зупинений саморозвиток, який є причиною того, що деякі керівники не вміють подолати свої слабкості й працювати над власним зростанням. Вони недостатньо динамічні, схильні уникати проблемних ситуацій, не розвивають усі свої здібності, втрачають природну співчутливість, їх ділове життя стає рутиною настільки, наскільки вони в інтересах особистої безпеки виключають зі своєї діяльності ризик;</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5) невміння розв'язати проблеми, що призводить до їх нагромадження та привнесення у дії управління хаосу, непорозумінь;</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6) брак творчого підходу, за якого керівник з низьким рівнем винахідливості рідко висуває нові ідеї, нездатний змусити інших бути творцями й використовувати нові підходи в роботі. Він часто не ознайомлений з методами підвищення винахідливості;</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7) невміння впливати на людей, коли у своїх недоліках і труднощах вони звинувачують інших, критикують їх через те, що підлеглі, на їх думку, до них не прислуховуються;</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8) недостатнє розуміння особливостей управлінської діяльності, що призводить до невміння прогнозувати поведінку підлеглих, їх можливі помилки та реакції. Труднощі виникають при налагодженні зворотного зв'язку, що у практиці управління є інформацією, яка надходить від виконавців;</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9) слабкі навички керівництва, за яких ефективність методів роботи керівника стає причиною того, що люди почувають себе незадоволеними і працюють, не використовуючи свій інтелектуально-професійний та соціально- психологічний потенціал;</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10) невміння навчати, яке проявляється, коли управлінець не може передати власний досвід молодому керівникові, підвищити показники працівників і допомогти їм у саморозвитку;</w:t>
      </w:r>
    </w:p>
    <w:p w:rsidR="00F84E53" w:rsidRPr="00F84E53" w:rsidRDefault="00F84E53" w:rsidP="00294DC0">
      <w:pPr>
        <w:spacing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11) низька здатність формувати групу (команду), внаслідок чого керівникові не вдається перетворити її на кваліфікований і результативний колектив однодумців, робота групи зазвичай супроводжується труднощами або не дає віддачі.</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Колегіальним органом вищого навчального закладу третього або четвертого рівня акредитації є </w:t>
      </w:r>
      <w:r w:rsidRPr="00F84E53">
        <w:rPr>
          <w:rFonts w:cs="Times New Roman"/>
          <w:i/>
          <w:iCs/>
          <w:sz w:val="28"/>
          <w:szCs w:val="28"/>
          <w:lang w:val="ru-RU" w:eastAsia="ru-RU"/>
        </w:rPr>
        <w:t>вчена рада,</w:t>
      </w:r>
      <w:r w:rsidRPr="00F84E53">
        <w:rPr>
          <w:rFonts w:cs="Times New Roman"/>
          <w:sz w:val="28"/>
          <w:szCs w:val="28"/>
          <w:lang w:val="ru-RU" w:eastAsia="ru-RU"/>
        </w:rPr>
        <w:t xml:space="preserve"> яку формують строком до п'яти років (для національного вищого навчального закладу – до семи років). До її компетенції належать: подання до вищого колегіального органу громадського самоврядування проекту статуту, а також змін і доповнень до нього; ухвалення фінансових плану і звіту вищого навчального закладу; подання пропозицій керівнику вищого навчального закладу щодо призначення та звільнення з посади директора бібліотеки, а також призначення та звільнення з посади проректорів (заступників керівника), директорів інститутів та головного </w:t>
      </w:r>
      <w:r w:rsidRPr="00F84E53">
        <w:rPr>
          <w:rFonts w:cs="Times New Roman"/>
          <w:sz w:val="28"/>
          <w:szCs w:val="28"/>
          <w:lang w:val="ru-RU" w:eastAsia="ru-RU"/>
        </w:rPr>
        <w:lastRenderedPageBreak/>
        <w:t>бухгалтера; обрання на посаду таємним голосуванням завідувачів кафедр і професорів; ухвалення навчальних програм та навчальних планів; ухвалення рішень з питань організації навчально-виховного процесу; ухвалення основних напрямів наукових досліджень; оцінювання науково-педагогічної діяльності структурних підрозділів; прийняття рішень щодо кандидатур для присвоєння вчених звань доцента, професора, старшого наукового співробітника та ін.</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Вчену раду вищого навчального закладу очолює </w:t>
      </w:r>
      <w:r w:rsidRPr="00F84E53">
        <w:rPr>
          <w:rFonts w:cs="Times New Roman"/>
          <w:i/>
          <w:iCs/>
          <w:sz w:val="28"/>
          <w:szCs w:val="28"/>
          <w:lang w:val="ru-RU" w:eastAsia="ru-RU"/>
        </w:rPr>
        <w:t>голова</w:t>
      </w:r>
      <w:r w:rsidRPr="00F84E53">
        <w:rPr>
          <w:rFonts w:cs="Times New Roman"/>
          <w:sz w:val="28"/>
          <w:szCs w:val="28"/>
          <w:lang w:val="ru-RU" w:eastAsia="ru-RU"/>
        </w:rPr>
        <w:t> – керівник вищого навчального закладу. До складу вченої ради вищого навчального закладу входять заступники керівника вищого навчального закладу, декани, головний бухгалтер, керівники органів самоврядування, а також виборні представники, які представляють науково-педагогічних працівників і обираються з числа завідувачів кафедр, професорів, докторів наук; виборні представники, які представляють інших працівників вищого навчального закладу і працюють у ньому на постійній основі відповідно до квот, визначених у Статуті вищого навчального закладу. При цьому не менш як 75% загальної чисельності її складу мають становити науково-педагогічні працівники вищого навчального закладу і не менше як 10% – виборні представники з осіб, які навчаються у вищому навчальному закладі. Виборні представники обираються вищим колегіальним органом громадського самоврядування вищого навчального закладу за поданням структурних підрозділів, в яких вони працюють.</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 xml:space="preserve">Рішення ради реалізуються через накази і розпорядження органів виконавчого керівництва ВНЗ. Вони обов'язкові для виконання керівниками підрозділів, персоналом і студентами. У випадку незгоди з рішеннями </w:t>
      </w:r>
      <w:proofErr w:type="gramStart"/>
      <w:r w:rsidRPr="00F84E53">
        <w:rPr>
          <w:rFonts w:cs="Times New Roman"/>
          <w:sz w:val="28"/>
          <w:szCs w:val="28"/>
          <w:lang w:val="ru-RU" w:eastAsia="ru-RU"/>
        </w:rPr>
        <w:t>ради ректор</w:t>
      </w:r>
      <w:proofErr w:type="gramEnd"/>
      <w:r w:rsidRPr="00F84E53">
        <w:rPr>
          <w:rFonts w:cs="Times New Roman"/>
          <w:sz w:val="28"/>
          <w:szCs w:val="28"/>
          <w:lang w:val="ru-RU" w:eastAsia="ru-RU"/>
        </w:rPr>
        <w:t xml:space="preserve"> може повернути їх для повторного розгляду.</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План роботи ради приймається на кожен навчальний рік. Засідання ради проводяться ректором або його заступниками один раз на місяць. Рішення ради приймаються голосуванням і вважаються прийнятими, якщо за них проголосувало не менше половини присутніх.</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i/>
          <w:iCs/>
          <w:sz w:val="28"/>
          <w:szCs w:val="28"/>
          <w:lang w:val="ru-RU" w:eastAsia="ru-RU"/>
        </w:rPr>
        <w:t>Вчена рада факультету</w:t>
      </w:r>
      <w:r w:rsidRPr="00F84E53">
        <w:rPr>
          <w:rFonts w:cs="Times New Roman"/>
          <w:sz w:val="28"/>
          <w:szCs w:val="28"/>
          <w:lang w:val="ru-RU" w:eastAsia="ru-RU"/>
        </w:rPr>
        <w:t> є колегіальним органом факультету вищого навчального закладу третього і четвертого рівнів акредитації. Її очолює голова – </w:t>
      </w:r>
      <w:r w:rsidRPr="00F84E53">
        <w:rPr>
          <w:rFonts w:cs="Times New Roman"/>
          <w:i/>
          <w:iCs/>
          <w:sz w:val="28"/>
          <w:szCs w:val="28"/>
          <w:lang w:val="ru-RU" w:eastAsia="ru-RU"/>
        </w:rPr>
        <w:t>декан факультету.</w:t>
      </w:r>
      <w:r w:rsidRPr="00F84E53">
        <w:rPr>
          <w:rFonts w:cs="Times New Roman"/>
          <w:sz w:val="28"/>
          <w:szCs w:val="28"/>
          <w:lang w:val="ru-RU" w:eastAsia="ru-RU"/>
        </w:rPr>
        <w:t> </w:t>
      </w:r>
      <w:proofErr w:type="gramStart"/>
      <w:r w:rsidRPr="00F84E53">
        <w:rPr>
          <w:rFonts w:cs="Times New Roman"/>
          <w:sz w:val="28"/>
          <w:szCs w:val="28"/>
          <w:lang w:val="ru-RU" w:eastAsia="ru-RU"/>
        </w:rPr>
        <w:t>До складу</w:t>
      </w:r>
      <w:proofErr w:type="gramEnd"/>
      <w:r w:rsidRPr="00F84E53">
        <w:rPr>
          <w:rFonts w:cs="Times New Roman"/>
          <w:sz w:val="28"/>
          <w:szCs w:val="28"/>
          <w:lang w:val="ru-RU" w:eastAsia="ru-RU"/>
        </w:rPr>
        <w:t xml:space="preserve"> вченої ради факультету входять заступники декана, завідувачі кафедр, керівники органів самоврядування факультету, а також виборні представники, які представляють науково-педагогічних працівників і обираються з числа професорів, докторів наук, виборні представники, які представляють інших працівників факультету і які працюють у ньому на постійній основі відповідно до квот, визначених у Статуті вищого навчального закладу. При цьому не менш як 75% загальної чисельності її складу мають становити науково-педагогічні працівники факультету. Виборні представники обираються органом громадського самоврядування факультету за поданням структурних підрозділів, в яких вони працюють.</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 xml:space="preserve">До компетенції вченої </w:t>
      </w:r>
      <w:proofErr w:type="gramStart"/>
      <w:r w:rsidRPr="00F84E53">
        <w:rPr>
          <w:rFonts w:cs="Times New Roman"/>
          <w:sz w:val="28"/>
          <w:szCs w:val="28"/>
          <w:lang w:val="ru-RU" w:eastAsia="ru-RU"/>
        </w:rPr>
        <w:t>ради факультету</w:t>
      </w:r>
      <w:proofErr w:type="gramEnd"/>
      <w:r w:rsidRPr="00F84E53">
        <w:rPr>
          <w:rFonts w:cs="Times New Roman"/>
          <w:sz w:val="28"/>
          <w:szCs w:val="28"/>
          <w:lang w:val="ru-RU" w:eastAsia="ru-RU"/>
        </w:rPr>
        <w:t xml:space="preserve"> належать: визначення загальних напрямів наукової діяльності факультету; обрання на посаду таємним голосуванням асистентів, викладачів, старших викладачів, доцентів, декана; </w:t>
      </w:r>
      <w:r w:rsidRPr="00F84E53">
        <w:rPr>
          <w:rFonts w:cs="Times New Roman"/>
          <w:sz w:val="28"/>
          <w:szCs w:val="28"/>
          <w:lang w:val="ru-RU" w:eastAsia="ru-RU"/>
        </w:rPr>
        <w:lastRenderedPageBreak/>
        <w:t>ухвалення навчальних програм та навчальних планів; вирішення питань організації навчально-виховного процесу на факультеті; ухвалення фінансових плану і звіту факультету.</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 xml:space="preserve">Рішення вченої </w:t>
      </w:r>
      <w:proofErr w:type="gramStart"/>
      <w:r w:rsidRPr="00F84E53">
        <w:rPr>
          <w:rFonts w:cs="Times New Roman"/>
          <w:sz w:val="28"/>
          <w:szCs w:val="28"/>
          <w:lang w:val="ru-RU" w:eastAsia="ru-RU"/>
        </w:rPr>
        <w:t>ради факультету</w:t>
      </w:r>
      <w:proofErr w:type="gramEnd"/>
      <w:r w:rsidRPr="00F84E53">
        <w:rPr>
          <w:rFonts w:cs="Times New Roman"/>
          <w:sz w:val="28"/>
          <w:szCs w:val="28"/>
          <w:lang w:val="ru-RU" w:eastAsia="ru-RU"/>
        </w:rPr>
        <w:t xml:space="preserve"> вводяться в дію розпорядженнями декана факультету, а скасувати їх може лише вчена рада вищого навчального закладу.</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У вищому навчальному закладі третього або четвертого рівня акредитації можуть працювати вчені ради інших структурних підрозділів. їх повноваження визначаються керівником вищого навчального закладу.</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Засідання кафедр призначаються і проводяться не рідше одного разу на місяць. На їх засіданнях обговорюються плани діяльності; підводяться підсумки за минулий період; розглядаються звіти про діяльність окремих працівників; обмінюються досвідом методичної, навчальної і наукової діяльності; заслуховуються наукові доповіді та повідомлення; інформується колектив про останні рішення керівництва ВНЗ і факультету; розглядається успішність студентів і стан робіт в аспірантів і докторантів; розробляються рекомендації з підвищення якості навчального процесу і розширення навчальних і наукових зв'язків кафедр; оголошується навчальне навантаження викладачів на наступний період.</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У національному вищому навчальному закладі обов'язково створюється </w:t>
      </w:r>
      <w:r w:rsidRPr="00F84E53">
        <w:rPr>
          <w:rFonts w:cs="Times New Roman"/>
          <w:i/>
          <w:iCs/>
          <w:sz w:val="28"/>
          <w:szCs w:val="28"/>
          <w:lang w:val="ru-RU" w:eastAsia="ru-RU"/>
        </w:rPr>
        <w:t>наглядова рада.</w:t>
      </w:r>
      <w:r w:rsidRPr="00F84E53">
        <w:rPr>
          <w:rFonts w:cs="Times New Roman"/>
          <w:sz w:val="28"/>
          <w:szCs w:val="28"/>
          <w:lang w:val="ru-RU" w:eastAsia="ru-RU"/>
        </w:rPr>
        <w:t> Вона розглядає шляхи перспективного розвитку закладу, надає допомогу його керівництву в реалізації державної політики у галузі вищої освіти і науки, здійснює громадський контроль за діяльністю керівництва вищого навчального закладу, забезпечує ефективну взаємодію його з органами державного управління, науковою громадськістю, суспільно-політичними та комерційними організаціями в інтересах розвитку вищої освіти.</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Склад наглядової ради національного вищого навчального закладу затверджується Кабінетом Міністрів України. Положення про неї затверджує голова наглядової ради за погодженням із спеціально уповноваженим центральним органом виконавчої влади в галузі освіти і науки. Термін повноваження наглядової ради становить не менше трьох років, але не більше п'яти.</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Наглядова рада може бути створена також за погодженням із спеціально уповноваженим центральним органом виконавчої влади у галузі освіти і науки або іншим центральним органом виконавчої влади, у підпорядкуванні якого перебуває вищий навчальний заклад.</w:t>
      </w:r>
    </w:p>
    <w:p w:rsidR="00F84E53" w:rsidRPr="00F84E53" w:rsidRDefault="00F84E53" w:rsidP="00294DC0">
      <w:pPr>
        <w:spacing w:line="240" w:lineRule="atLeast"/>
        <w:jc w:val="both"/>
        <w:rPr>
          <w:rFonts w:cs="Times New Roman"/>
          <w:sz w:val="28"/>
          <w:szCs w:val="28"/>
          <w:lang w:val="ru-RU" w:eastAsia="ru-RU"/>
        </w:rPr>
      </w:pPr>
      <w:r w:rsidRPr="00F84E53">
        <w:rPr>
          <w:rFonts w:cs="Times New Roman"/>
          <w:sz w:val="28"/>
          <w:szCs w:val="28"/>
          <w:lang w:val="ru-RU" w:eastAsia="ru-RU"/>
        </w:rPr>
        <w:t>Для розв'язання поточних питань діяльності вищого навчального закладу третього або четвертого рівня акредитації створюються </w:t>
      </w:r>
      <w:r w:rsidRPr="00F84E53">
        <w:rPr>
          <w:rFonts w:cs="Times New Roman"/>
          <w:i/>
          <w:iCs/>
          <w:sz w:val="28"/>
          <w:szCs w:val="28"/>
          <w:lang w:val="ru-RU" w:eastAsia="ru-RU"/>
        </w:rPr>
        <w:t>робочі органи:</w:t>
      </w:r>
      <w:r w:rsidRPr="00F84E53">
        <w:rPr>
          <w:rFonts w:cs="Times New Roman"/>
          <w:sz w:val="28"/>
          <w:szCs w:val="28"/>
          <w:lang w:val="ru-RU" w:eastAsia="ru-RU"/>
        </w:rPr>
        <w:t> ректорат, деканати, приймальна комісія. Положення про робочі органи затверджуються наказом керівника вищого навчального закладу відповідно до Статуту вищого навчального закладу.</w:t>
      </w:r>
    </w:p>
    <w:p w:rsidR="00F84E53" w:rsidRPr="00F84E53" w:rsidRDefault="00F84E53" w:rsidP="00294DC0">
      <w:pPr>
        <w:spacing w:line="240" w:lineRule="atLeast"/>
        <w:jc w:val="both"/>
        <w:rPr>
          <w:rFonts w:cs="Times New Roman"/>
          <w:sz w:val="28"/>
          <w:szCs w:val="28"/>
          <w:lang w:val="ru-RU" w:eastAsia="ru-RU"/>
        </w:rPr>
      </w:pPr>
    </w:p>
    <w:p w:rsidR="00F84E53" w:rsidRPr="00F84E53" w:rsidRDefault="00F84E53" w:rsidP="00294DC0">
      <w:pPr>
        <w:pStyle w:val="a7"/>
        <w:spacing w:line="240" w:lineRule="atLeast"/>
        <w:jc w:val="both"/>
        <w:rPr>
          <w:color w:val="222222"/>
          <w:sz w:val="28"/>
          <w:szCs w:val="28"/>
        </w:rPr>
      </w:pPr>
      <w:r w:rsidRPr="00F84E53">
        <w:rPr>
          <w:color w:val="222222"/>
          <w:sz w:val="28"/>
          <w:szCs w:val="28"/>
        </w:rPr>
        <w:t>Вищим колегіальним органом громадського самоврядування вищого навчального закладу є </w:t>
      </w:r>
      <w:r w:rsidRPr="00F84E53">
        <w:rPr>
          <w:i/>
          <w:iCs/>
          <w:color w:val="222222"/>
          <w:sz w:val="28"/>
          <w:szCs w:val="28"/>
        </w:rPr>
        <w:t xml:space="preserve">загальні збори (конференція) трудового </w:t>
      </w:r>
      <w:r w:rsidRPr="00F84E53">
        <w:rPr>
          <w:i/>
          <w:iCs/>
          <w:color w:val="222222"/>
          <w:sz w:val="28"/>
          <w:szCs w:val="28"/>
        </w:rPr>
        <w:lastRenderedPageBreak/>
        <w:t>колективу.</w:t>
      </w:r>
      <w:r w:rsidRPr="00F84E53">
        <w:rPr>
          <w:color w:val="222222"/>
          <w:sz w:val="28"/>
          <w:szCs w:val="28"/>
        </w:rPr>
        <w:t> Порядок його скликання та роботи визначається Статутом вищого навчального закладу.</w:t>
      </w:r>
    </w:p>
    <w:p w:rsidR="00F84E53" w:rsidRPr="00F84E53" w:rsidRDefault="00F84E53" w:rsidP="00294DC0">
      <w:pPr>
        <w:pStyle w:val="a7"/>
        <w:spacing w:line="240" w:lineRule="atLeast"/>
        <w:jc w:val="both"/>
        <w:rPr>
          <w:color w:val="222222"/>
          <w:sz w:val="28"/>
          <w:szCs w:val="28"/>
        </w:rPr>
      </w:pPr>
      <w:r w:rsidRPr="00F84E53">
        <w:rPr>
          <w:color w:val="222222"/>
          <w:sz w:val="28"/>
          <w:szCs w:val="28"/>
        </w:rPr>
        <w:t>У вищому колегіальному органі громадського самоврядування повинні бути представлені всі групи працівників. Не менше ніж 75% загальної чисельності делегатів мають становити педагогічні або науково-педагогічні працівники. Скликається він не рідше одного разу на рік.</w:t>
      </w:r>
    </w:p>
    <w:p w:rsidR="00F84E53" w:rsidRPr="00F84E53" w:rsidRDefault="00F84E53" w:rsidP="00294DC0">
      <w:pPr>
        <w:pStyle w:val="a7"/>
        <w:spacing w:line="240" w:lineRule="atLeast"/>
        <w:jc w:val="both"/>
        <w:rPr>
          <w:color w:val="222222"/>
          <w:sz w:val="28"/>
          <w:szCs w:val="28"/>
        </w:rPr>
      </w:pPr>
      <w:r w:rsidRPr="00F84E53">
        <w:rPr>
          <w:color w:val="222222"/>
          <w:sz w:val="28"/>
          <w:szCs w:val="28"/>
        </w:rPr>
        <w:t>Вищий колегіальний орган громадського самоврядування за поданням вченої ради вищого навчального закладу приймає Статут вищого навчального закладу, а також вносить зміни до нього. До його компетенції належить обрання претендента на посаду керівника вищого навчального закладу шляхом таємного голосування і подання своїх пропозицій власнику (власникам) або уповноваженому ним (ними) органу (особі); щорічне заслуховування звіту керівника вищого навчального закладу та оцінювання його діяльності; обрання комісії з трудових спорів відповідно до Кодексу законів про працю України; за мотивованим поданням наглядової ради або вченої ради вищого навчального закладу розгляд питань про дострокове припинення повноважень керівника вищого навчального закладу; затвердження правил внутрішнього розпорядку вищого навчального закладу, положень про органи студентського самоврядування тощо.</w:t>
      </w:r>
    </w:p>
    <w:p w:rsidR="00F84E53" w:rsidRPr="00F84E53" w:rsidRDefault="00F84E53" w:rsidP="00294DC0">
      <w:pPr>
        <w:pStyle w:val="a7"/>
        <w:spacing w:line="240" w:lineRule="atLeast"/>
        <w:jc w:val="both"/>
        <w:rPr>
          <w:color w:val="222222"/>
          <w:sz w:val="28"/>
          <w:szCs w:val="28"/>
        </w:rPr>
      </w:pPr>
      <w:r w:rsidRPr="00F84E53">
        <w:rPr>
          <w:color w:val="222222"/>
          <w:sz w:val="28"/>
          <w:szCs w:val="28"/>
        </w:rPr>
        <w:t>Органом громадського самоврядування факультету у вищому навчальному закладі третього або четвертого рівня акредитації є </w:t>
      </w:r>
      <w:r w:rsidRPr="00F84E53">
        <w:rPr>
          <w:i/>
          <w:iCs/>
          <w:color w:val="222222"/>
          <w:sz w:val="28"/>
          <w:szCs w:val="28"/>
        </w:rPr>
        <w:t>збори</w:t>
      </w:r>
      <w:r w:rsidRPr="00F84E53">
        <w:rPr>
          <w:color w:val="222222"/>
          <w:sz w:val="28"/>
          <w:szCs w:val="28"/>
        </w:rPr>
        <w:t> (</w:t>
      </w:r>
      <w:r w:rsidRPr="00F84E53">
        <w:rPr>
          <w:i/>
          <w:iCs/>
          <w:color w:val="222222"/>
          <w:sz w:val="28"/>
          <w:szCs w:val="28"/>
        </w:rPr>
        <w:t>конференція</w:t>
      </w:r>
      <w:r w:rsidRPr="00F84E53">
        <w:rPr>
          <w:color w:val="222222"/>
          <w:sz w:val="28"/>
          <w:szCs w:val="28"/>
        </w:rPr>
        <w:t>) </w:t>
      </w:r>
      <w:r w:rsidRPr="00F84E53">
        <w:rPr>
          <w:i/>
          <w:iCs/>
          <w:color w:val="222222"/>
          <w:sz w:val="28"/>
          <w:szCs w:val="28"/>
        </w:rPr>
        <w:t>трудового колективу факультету.</w:t>
      </w:r>
      <w:r w:rsidRPr="00F84E53">
        <w:rPr>
          <w:color w:val="222222"/>
          <w:sz w:val="28"/>
          <w:szCs w:val="28"/>
        </w:rPr>
        <w:t> Порядок його скликання та роботи визначається Статутом вищого навчального закладу.</w:t>
      </w:r>
    </w:p>
    <w:p w:rsidR="00F84E53" w:rsidRPr="00F84E53" w:rsidRDefault="00F84E53" w:rsidP="00294DC0">
      <w:pPr>
        <w:pStyle w:val="a7"/>
        <w:spacing w:line="240" w:lineRule="atLeast"/>
        <w:jc w:val="both"/>
        <w:rPr>
          <w:color w:val="222222"/>
          <w:sz w:val="28"/>
          <w:szCs w:val="28"/>
        </w:rPr>
      </w:pPr>
      <w:r w:rsidRPr="00F84E53">
        <w:rPr>
          <w:color w:val="222222"/>
          <w:sz w:val="28"/>
          <w:szCs w:val="28"/>
        </w:rPr>
        <w:t>В органі громадського самоврядування факультету повинні бути представлені всі групи працівників факультету. Не менш як 75% загальної чисельності делегатів (членів) виборного органу повинні становити педагогічні або науково-педагогічні працівники факультету і не менше як 10% – виборні представники з осіб, які навчаються у вищому навчальному закладі. Збори скликаються не рідше одного разу на рік.</w:t>
      </w:r>
    </w:p>
    <w:p w:rsidR="00F84E53" w:rsidRPr="00F84E53" w:rsidRDefault="00F84E53" w:rsidP="00294DC0">
      <w:pPr>
        <w:pStyle w:val="a7"/>
        <w:spacing w:line="240" w:lineRule="atLeast"/>
        <w:jc w:val="both"/>
        <w:rPr>
          <w:color w:val="222222"/>
          <w:sz w:val="28"/>
          <w:szCs w:val="28"/>
        </w:rPr>
      </w:pPr>
      <w:r w:rsidRPr="00F84E53">
        <w:rPr>
          <w:color w:val="222222"/>
          <w:sz w:val="28"/>
          <w:szCs w:val="28"/>
        </w:rPr>
        <w:t xml:space="preserve">Орган громадського самоврядування факультету оцінює діяльність керівника факультету; затверджує річний звіт про діяльність факультету; вносить пропозиції керівнику вищого навчального закладу про відкликання з посади керівника факультету; обирає виборних представників до вченої </w:t>
      </w:r>
      <w:proofErr w:type="gramStart"/>
      <w:r w:rsidRPr="00F84E53">
        <w:rPr>
          <w:color w:val="222222"/>
          <w:sz w:val="28"/>
          <w:szCs w:val="28"/>
        </w:rPr>
        <w:t>ради факультету</w:t>
      </w:r>
      <w:proofErr w:type="gramEnd"/>
      <w:r w:rsidRPr="00F84E53">
        <w:rPr>
          <w:color w:val="222222"/>
          <w:sz w:val="28"/>
          <w:szCs w:val="28"/>
        </w:rPr>
        <w:t>; обирає кандидатури до вищого колегіального органу громадського самоврядування вищого навчального закладу; обирає кандидатури до вченої ради вищого навчального закладу.</w:t>
      </w:r>
    </w:p>
    <w:p w:rsidR="00F84E53" w:rsidRPr="00F84E53" w:rsidRDefault="00F84E53" w:rsidP="00294DC0">
      <w:pPr>
        <w:pStyle w:val="a7"/>
        <w:spacing w:line="240" w:lineRule="atLeast"/>
        <w:jc w:val="both"/>
        <w:rPr>
          <w:color w:val="222222"/>
          <w:sz w:val="28"/>
          <w:szCs w:val="28"/>
        </w:rPr>
      </w:pPr>
      <w:r w:rsidRPr="00F84E53">
        <w:rPr>
          <w:color w:val="222222"/>
          <w:sz w:val="28"/>
          <w:szCs w:val="28"/>
        </w:rPr>
        <w:t xml:space="preserve">Самоврядування закладів освіти передбачає їх право на самостійне планування роботи, розв'язання питань навчально-виховної, науково-дослідної, методичної, економічної і фінансово-господарської діяльності; участь у формуванні планів прийому студентів, слухачів з урахуванням </w:t>
      </w:r>
      <w:r w:rsidRPr="00F84E53">
        <w:rPr>
          <w:color w:val="222222"/>
          <w:sz w:val="28"/>
          <w:szCs w:val="28"/>
        </w:rPr>
        <w:lastRenderedPageBreak/>
        <w:t>державного контракту (замовлення) та угод підприємств, установ, організацій, громадян; визначення змісту компонента освіти, що надається закладом освіти понад визначений державою обсяг; прийняття на роботу педагогічних, науково-педагогічних, інженерно-педагогічних та інших працівників, а також фахівців з інших держав, у т. ч. за контрактами; самостійне використання усіх видів асигнувань, затвердження структури і штатного розпису в межах встановленого фонду заробітної плати; здійснення громадського контролю за організацією харчування, охорони здоров'я, охорони праці в закладах освіти.</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У вищих навчальних закладах створюються органи студентського самоврядування. Під студентським самоврядуванням розуміють право </w:t>
      </w:r>
      <w:r w:rsidRPr="00F84E53">
        <w:rPr>
          <w:rFonts w:cs="Times New Roman"/>
          <w:i/>
          <w:iCs/>
          <w:color w:val="222222"/>
          <w:sz w:val="28"/>
          <w:szCs w:val="28"/>
          <w:lang w:val="ru-RU" w:eastAsia="ru-RU"/>
        </w:rPr>
        <w:t>студентської громади</w:t>
      </w:r>
      <w:r w:rsidRPr="00F84E53">
        <w:rPr>
          <w:rFonts w:cs="Times New Roman"/>
          <w:color w:val="222222"/>
          <w:sz w:val="28"/>
          <w:szCs w:val="28"/>
          <w:lang w:val="ru-RU" w:eastAsia="ru-RU"/>
        </w:rPr>
        <w:t xml:space="preserve"> (усі студенти денної форми навчання вищого навчального закладу) самостійно вирішувати питання громадського життя студентів </w:t>
      </w:r>
      <w:proofErr w:type="gramStart"/>
      <w:r w:rsidRPr="00F84E53">
        <w:rPr>
          <w:rFonts w:cs="Times New Roman"/>
          <w:color w:val="222222"/>
          <w:sz w:val="28"/>
          <w:szCs w:val="28"/>
          <w:lang w:val="ru-RU" w:eastAsia="ru-RU"/>
        </w:rPr>
        <w:t>у межах</w:t>
      </w:r>
      <w:proofErr w:type="gramEnd"/>
      <w:r w:rsidRPr="00F84E53">
        <w:rPr>
          <w:rFonts w:cs="Times New Roman"/>
          <w:color w:val="222222"/>
          <w:sz w:val="28"/>
          <w:szCs w:val="28"/>
          <w:lang w:val="ru-RU" w:eastAsia="ru-RU"/>
        </w:rPr>
        <w:t xml:space="preserve"> чинного законодавства та Статуту навчального закладу.</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Українське законодавство забезпечує обов'язкову участь студентів у прийнятті рішень на всіх рівнях у системі вищої освіти. В Україні створено Всеукраїнську студентську раду для розгляду актуальних проблем студентського життя. Головними її завданнями є:</w:t>
      </w:r>
    </w:p>
    <w:p w:rsidR="00F84E53" w:rsidRPr="00F84E53" w:rsidRDefault="00F84E53" w:rsidP="00294DC0">
      <w:pPr>
        <w:numPr>
          <w:ilvl w:val="0"/>
          <w:numId w:val="13"/>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сприяння розвитку студентського руху в Україні, у т. ч. розвитку у вищих навчальних закладах України студентського самоврядування;</w:t>
      </w:r>
    </w:p>
    <w:p w:rsidR="00F84E53" w:rsidRPr="00F84E53" w:rsidRDefault="00F84E53" w:rsidP="00294DC0">
      <w:pPr>
        <w:numPr>
          <w:ilvl w:val="0"/>
          <w:numId w:val="13"/>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забезпечення постійного зв'язку та взаємодії між Міністерством освіти і науки України і органами студентського самоврядування вищих навчальних закладів;</w:t>
      </w:r>
    </w:p>
    <w:p w:rsidR="00F84E53" w:rsidRPr="00F84E53" w:rsidRDefault="00F84E53" w:rsidP="00294DC0">
      <w:pPr>
        <w:numPr>
          <w:ilvl w:val="0"/>
          <w:numId w:val="13"/>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аналіз суспільних процесів у сфері освіти, культури, праці, соціального становлення та розвитку студентської молоді, молодих спеціалістів і громадян, які вступають до вищих навчальних закладів, розроблення та внесення за результатами такого аналізу пропозицій Міністерству освіти і науки України та органам місцевого самоврядування всіх рівнів;</w:t>
      </w:r>
    </w:p>
    <w:p w:rsidR="00F84E53" w:rsidRPr="00F84E53" w:rsidRDefault="00F84E53" w:rsidP="00294DC0">
      <w:pPr>
        <w:numPr>
          <w:ilvl w:val="0"/>
          <w:numId w:val="13"/>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участь у підготовці та розробленні пропозицій до нормативно-правових актів, програм із найважливіших питань суспільного становища, правового і соціального захисту студентської молоді, молодих спеціалістів і громадян, які вступають до вищих навчальних закладів України;</w:t>
      </w:r>
    </w:p>
    <w:p w:rsidR="00F84E53" w:rsidRPr="00F84E53" w:rsidRDefault="00F84E53" w:rsidP="00294DC0">
      <w:pPr>
        <w:numPr>
          <w:ilvl w:val="0"/>
          <w:numId w:val="13"/>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сприяння розширенню регіонального, всеукраїнського та міжнародного співробітництва у сфері освіти, культури, праці, соціального становлення та розвитку молоді;</w:t>
      </w:r>
    </w:p>
    <w:p w:rsidR="00F84E53" w:rsidRPr="00F84E53" w:rsidRDefault="00F84E53" w:rsidP="00294DC0">
      <w:pPr>
        <w:numPr>
          <w:ilvl w:val="0"/>
          <w:numId w:val="13"/>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участь у підготовці та реалізації заходів, спрямованих на розв'язання соціально-економічних, правових, освітніх, культурних та інших проблем студентської молоді, молодих спеціалістів;</w:t>
      </w:r>
    </w:p>
    <w:p w:rsidR="00F84E53" w:rsidRPr="00F84E53" w:rsidRDefault="00F84E53" w:rsidP="00294DC0">
      <w:pPr>
        <w:numPr>
          <w:ilvl w:val="0"/>
          <w:numId w:val="13"/>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стимулювання утвердження правового громадянського суспільства в Україні, духовного та фізичного розвитку студентів, виховання у них патріотизму;</w:t>
      </w:r>
    </w:p>
    <w:p w:rsidR="00F84E53" w:rsidRPr="00F84E53" w:rsidRDefault="00F84E53" w:rsidP="00294DC0">
      <w:pPr>
        <w:numPr>
          <w:ilvl w:val="0"/>
          <w:numId w:val="13"/>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lastRenderedPageBreak/>
        <w:t>– сприяння формуванню громадянської свідомості студентів, що ґрунтується на національних інтересах держави та загальнолюдських цінностях.</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Міністерство освіти і науки України на основі угоди співпрацює з Українською асоціацією студентського самоврядування (УАСС), яка на добровільних засадах об'єднує у своєму складі представницькі органи студентського самоврядування вищих навчальних закладів усіх регіонів України. Ця співпраця передбачає проведення взаємних консультацій, залучення представників УАСС до підготовки нормативних актів із питань вищої освіти та соціального забезпечення студентів, спільне проведення конференцій та семінарів, надання необхідної УАСС інформації. Часткові зміни до Закону України "Про вищу освіту" передбачають зміцнення правового становища студентських і представницьких органів, наділення їх ширшими та краще юридично захищеними правами, а також підвищення кількісного представництва студентів в усіх органах управління вищих навчальних закладів та в процесі їх акредитації.</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Органи студентського самоврядування сприяють гармонійному розвитку особистості студента, формуванню у нього навичок майбутнього організатора, керівника. Рішення студентського самоврядування мають дорадчий характер.</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У своїй діяльності органи студентського самоврядування керуються законодавством, рішеннями спеціально уповноваженого центрального органу виконавчої влади у галузі освіти і науки та відповідного центрального органу виконавчої влади, в підпорядкуванні якого перебуває вищий навчальний заклад, Статутом вищого навчального закладу.</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 xml:space="preserve">Основними завданнями органів студентського самоврядування є: забезпечення і захист прав та інтересів студентів, зокрема стосовно організації навчального процесу; забезпечення виконання студентами своїх обов'язків; сприяння навчальній, науковій і творчій діяльності студентів, створенню відповідних умов для проживання і відпочинку студентів; стимулювання діяльності студентських гуртків, товариств, об'єднань, клубів за інтересами; організація співробітництва зі студентами інших вищих навчальних закладів і молодіжними організаціями; допомога у працевлаштуванні випускників; участь у вирішенні питань міжнародного обміну студентами; залучення студентів до реалізації державної молодіжної політики; забезпечення інформаційно-молодіжної, правової, психологічної, фінансової допомоги студентам (спільно з відповідними службами); репрезентація у керівництві вищих навчальних закладів; залучення студентів до трудової діяльності у вільний від роботи час (спільно з деканатами); координація діяльності старостату, кураторів академічних груп, студентського профкому; контроль за навчальною і трудовою дисципліною студентів, оперативне реагування на її порушення; участь у розподілі стипендіального фонду; участь у поселенні </w:t>
      </w:r>
      <w:r w:rsidRPr="00F84E53">
        <w:rPr>
          <w:rFonts w:cs="Times New Roman"/>
          <w:color w:val="222222"/>
          <w:sz w:val="28"/>
          <w:szCs w:val="28"/>
          <w:lang w:val="ru-RU" w:eastAsia="ru-RU"/>
        </w:rPr>
        <w:lastRenderedPageBreak/>
        <w:t>студентів у гуртожитки та виселенні їх; організація деканатами, відділом навчально-виховної роботи, господарською службою вищого навчального закладу, директором студентського містечка, завідувачами гуртожитків, вихователями побуту, відпочинку і дозвілля студентів у гуртожитках; участь в організації ремонту кімнат, забезпеченні зберігання і підтримки в належному стані приміщень, обладнання та іншого майна навчального закладу; координація роботи з викладачами, наставниками академічних груп студентів та кафедрами, деканатами факультетів; організація чергування студентів і сприяння налагодженню пропускного режиму в гуртожитках; активна участь у роботі з організації змагання за зразкові кімнати, поверхи, гуртожитки, економію електроенергії та ін.; створення умов для самостійної підготовки (навчання) студентів; разом із завідувачами гуртожитків, директором студмістечка, вихователями пропаганда здорового способу життя, запобігання вчиненню студентами правопорушень, вживанню ними алкоголю, наркотиків, палінню тощо.</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Студентське самоврядування здійснюється на рівні студентської групи, факультету, гуртожитку, вищого навчального закладу. Залежно від контингенту студентів, типу та специфіки вищого навчального закладу студентське самоврядування може здійснюватися на рівні курсу, спеціальності, студентського містечка, структурних підрозділів вищого навчального закладу.</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Вищим органом студентського самоврядування є </w:t>
      </w:r>
      <w:r w:rsidRPr="00F84E53">
        <w:rPr>
          <w:rFonts w:cs="Times New Roman"/>
          <w:i/>
          <w:iCs/>
          <w:color w:val="222222"/>
          <w:sz w:val="28"/>
          <w:szCs w:val="28"/>
          <w:lang w:val="ru-RU" w:eastAsia="ru-RU"/>
        </w:rPr>
        <w:t>загальні збори</w:t>
      </w:r>
      <w:r w:rsidRPr="00F84E53">
        <w:rPr>
          <w:rFonts w:cs="Times New Roman"/>
          <w:color w:val="222222"/>
          <w:sz w:val="28"/>
          <w:szCs w:val="28"/>
          <w:lang w:val="ru-RU" w:eastAsia="ru-RU"/>
        </w:rPr>
        <w:t> (</w:t>
      </w:r>
      <w:r w:rsidRPr="00F84E53">
        <w:rPr>
          <w:rFonts w:cs="Times New Roman"/>
          <w:i/>
          <w:iCs/>
          <w:color w:val="222222"/>
          <w:sz w:val="28"/>
          <w:szCs w:val="28"/>
          <w:lang w:val="ru-RU" w:eastAsia="ru-RU"/>
        </w:rPr>
        <w:t>конференція</w:t>
      </w:r>
      <w:r w:rsidRPr="00F84E53">
        <w:rPr>
          <w:rFonts w:cs="Times New Roman"/>
          <w:color w:val="222222"/>
          <w:sz w:val="28"/>
          <w:szCs w:val="28"/>
          <w:lang w:val="ru-RU" w:eastAsia="ru-RU"/>
        </w:rPr>
        <w:t>) студентів вищого навчального закладу, які ухвалюють Положення про студентське самоврядування; обирають виконавчі органи студентського самоврядування та заслуховують їх звіти; визначають структуру, повноваження та порядок обрання виконавчих органів студентського самоврядування.</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Збори старост академічних груп є інформаційно-дорадчим органом у ВНЗ. Вони виконують роль зворотного зв'язку для системи управління. Збори проводить проректор, що опікується навчально-методичною діяльністю, і начальник навчально-методичного управління. На зборах інформують про важливі заходи у житті вищого навчального закладу; роз'яснюють правила навчальної діяльності; розглядають кандидатів на іменні стипендії; інформують про накази і вказівки, що регламентують режим навчання і атестації, про рішення загальноукраїнських і міських органів, що стосуються діяльності ВНЗ; обговорюють стан і напрями навчальної діяльності на факультетах тощо.</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 xml:space="preserve">Збори старост академічних груп на рівні факультету проводить декан факультету або його заступник. На них роз'яснюють правила і графік здійснення навчальної діяльності, правила атестації знань і умови проведення специфічних навчальних заходів; розглядають труднощі, що виникли в </w:t>
      </w:r>
      <w:r w:rsidRPr="00F84E53">
        <w:rPr>
          <w:rFonts w:cs="Times New Roman"/>
          <w:color w:val="222222"/>
          <w:sz w:val="28"/>
          <w:szCs w:val="28"/>
          <w:lang w:val="ru-RU" w:eastAsia="ru-RU"/>
        </w:rPr>
        <w:lastRenderedPageBreak/>
        <w:t>процесі навчання; пояснюють накази по ВНЗ і вказівки декана факультету, що стосуються інтересів студентів.</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Органи студентського самоврядування існують у різноманітних формах (сенат, парламент, старостат, студентська навчальна (наукова) частина, студентські деканати, ради тощо). Студенти розробляють проекти нормативних документів, затверджують їх на установчих конференціях навчального закладу. На цих конференціях обирають студентську виборчу комісію, яка організовує вибори до органів студентського самоврядування. Депутати парламенту, сенату чи старостату із свого середовища обирають голову, який формує уряд.</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У деяких вищих навчальних закладах студентське самоврядування існує у формі студентського братства, яке діє на рівні академічної групи, факультету, гуртожитку, університету. Саме студентське братство виступає ініціатором різноманітних заходів, що проводяться в навчальному закладі. Воно також може брати участь у здійсненні прийому на перший курс, у поселенні в гуртожитки. За участі братств відбувається розподіл стипендій, преміювання.</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 xml:space="preserve">Багатий і цікавий зарубіжний досвід студентського самоврядування. Наприклад, майже в усіх вищих навчальних закладах Ізраїлю є студентські асоціації, які проводять різноманітні заходи для студентів і пропонують їм багато послуг. Так, студентів університету ім. Д. Бен-Гуріона в Негеві об'єднує Студентська асоціація – позаполітична організація. Її керівників обирають щорічно: від кожного відділення по одному представнику. Представники студентів входять і </w:t>
      </w:r>
      <w:proofErr w:type="gramStart"/>
      <w:r w:rsidRPr="00F84E53">
        <w:rPr>
          <w:rFonts w:cs="Times New Roman"/>
          <w:color w:val="222222"/>
          <w:sz w:val="28"/>
          <w:szCs w:val="28"/>
          <w:lang w:val="ru-RU" w:eastAsia="ru-RU"/>
        </w:rPr>
        <w:t>до складу</w:t>
      </w:r>
      <w:proofErr w:type="gramEnd"/>
      <w:r w:rsidRPr="00F84E53">
        <w:rPr>
          <w:rFonts w:cs="Times New Roman"/>
          <w:color w:val="222222"/>
          <w:sz w:val="28"/>
          <w:szCs w:val="28"/>
          <w:lang w:val="ru-RU" w:eastAsia="ru-RU"/>
        </w:rPr>
        <w:t xml:space="preserve"> багатьох університетських органів, наприклад, ради директорів, виконавчого комітету і сенату.</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Студентська асоціація університету проводить різноманітні культурні заходи: щотижня організовує лекції, концерти, демонструє кінофільми, випускає студентську газету, допомагає студентам у працевлаштуванні, в пошуках житла тощо. Студенти мають можливість відвідувати синагогу і звертатися до рабина, відповідального за всі заходи, які стосуються досліджень єврейських традицій.</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Студенти на добровільних засадах беруть участь у різних громадських проектах. Так, частину свого часу вони присвячують наданню допомоги дітям із проблемних сімей. Раз на тиждень студенти 4 години позанавчального часу (120 годин протягом навчального року) допомагають престарілим, проводять гурткові заняття, уроки івриту та ін. Для студентів розроблені спеціальні брошури зі списками можливих робочих місць.</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В університеті можна займатися різними видами спорту. Спортивний центр містить гімнастичний зал, шість тенісних кортів і два басейни. Діють клуби гандболу, волейболу, шахів, плавання. Студентські команди представляють університет на різних змаганнях.</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lastRenderedPageBreak/>
        <w:t>Польські органи студентського самоврядування, окрім реального розв'язання за допомогою цього інституту власних проблем, мають закріплене законом право брати участь у загальноуніверситетських справах. Для цього студентська громада обирає своїх представників до колегіальних органів, які функціонують при університеті. Це – сенат університету і його комісії, наукова рада, контрольно-ревізійна комісія, бібліотечна рада тощо. Згідно із законом, максимальна кількість студентів, яку можуть обрати до колегіальних органів державного університету, становить 25% загального складу колегіального органу.</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У Польщі студентське самоврядування на рівні академічної групи переважно відсутнє. Це зумовлено тим, що академічних груп із постійним особовим складом, за деяким винятком, просто не існує, бо студенти більшість предметів обирають за власним бажанням і через це постійно опиняються в нових групах. Вибори до студентської ради характеризуються відкритістю і прозорістю виборчого процесу, хоча не у всіх університетах цих принципів дотримуються функціонери органів студентського самоврядування. Наприклад, вибори у Вищій торговельній академії відбуваються за участю студентів як денного, так і заочного відділень, а також аспірантів і докторантів, але за наявності різних квот. Кандидати чи групи кандидатів формують команди і проводять передвиборні кампанії, виступаючи з публічними промовами, роздаючи символічні подарунки.</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Особливістю органів студентського самоврядування в Польщі є їх потужна матеріальна база і фінансово-правова незалежність від адміністрації навчального закладу. Річний бюджет органів студентського самоврядування, наприклад Варшавського університету, становить приблизно 200 тис. дол. на рік. Ці кошти обов'язково, згідно із Законом про вищу освіту, виділяють з бюджету університету на діяльність самоврядування. До цієї суми долучаються добровільні пожертви і внески спонсорів. Площа приміщень, які займає студентське самоврядування Варшавського університету, становить 450 кв. м. Кошти, які виділяють органам студентського самоврядування, витрачають на діяльність центральних органів студентського самоврядування університету, зокрема на: утримання приміщення і апарату; діяльність органів студентського самоврядування на відділеннях і факультетах, які самостійно розпоряджаються частиною виділених коштів; гранти для студентських товариств і об'єднань, які діють при університеті.</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t>Адміністрація вищого навчального закладу органів студентського самоврядування в Польщі має право визначати розмір плати за навчання в університеті. Суттєвим засобом впливу також є вирішальне право органів студентського самоврядування затверджувати проректора зі студентських питань.</w:t>
      </w:r>
    </w:p>
    <w:p w:rsidR="00F84E53" w:rsidRPr="00F84E53" w:rsidRDefault="00F84E53" w:rsidP="00294DC0">
      <w:p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22222"/>
          <w:sz w:val="28"/>
          <w:szCs w:val="28"/>
          <w:lang w:val="ru-RU" w:eastAsia="ru-RU"/>
        </w:rPr>
        <w:lastRenderedPageBreak/>
        <w:t>Ознайомлення зі студентським самоврядуванням у вищих навчальних закладах Франції, Великої Британії та Північної Ірландії показало, що воно зорієнтоване переважно на:</w:t>
      </w:r>
    </w:p>
    <w:p w:rsidR="00F84E53" w:rsidRPr="00F84E53" w:rsidRDefault="00F84E53" w:rsidP="00294DC0">
      <w:pPr>
        <w:numPr>
          <w:ilvl w:val="0"/>
          <w:numId w:val="14"/>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захист інтересів студентів на всіх рівнях вищої освіти;</w:t>
      </w:r>
    </w:p>
    <w:p w:rsidR="00F84E53" w:rsidRPr="00F84E53" w:rsidRDefault="00F84E53" w:rsidP="00294DC0">
      <w:pPr>
        <w:numPr>
          <w:ilvl w:val="0"/>
          <w:numId w:val="14"/>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реалізацію студентських ініціатив у навчально-виховному процесі, а також у науковій, професійній, культурній та інших соціальних сферах діяльності;</w:t>
      </w:r>
    </w:p>
    <w:p w:rsidR="00F84E53" w:rsidRPr="00F84E53" w:rsidRDefault="00F84E53" w:rsidP="00294DC0">
      <w:pPr>
        <w:numPr>
          <w:ilvl w:val="0"/>
          <w:numId w:val="14"/>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підвищення ефективності взаємодії між студентами та університетською адміністрацією;</w:t>
      </w:r>
    </w:p>
    <w:p w:rsidR="00F84E53" w:rsidRPr="00F84E53" w:rsidRDefault="00F84E53" w:rsidP="00294DC0">
      <w:pPr>
        <w:numPr>
          <w:ilvl w:val="0"/>
          <w:numId w:val="14"/>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забезпечення студентських прав і свобод відповідно до громадянських норм, що діють у суспільстві;</w:t>
      </w:r>
    </w:p>
    <w:p w:rsidR="00F84E53" w:rsidRPr="00F84E53" w:rsidRDefault="00F84E53" w:rsidP="00294DC0">
      <w:pPr>
        <w:numPr>
          <w:ilvl w:val="0"/>
          <w:numId w:val="14"/>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співпрацю з державними та місцевими органами влади;</w:t>
      </w:r>
    </w:p>
    <w:p w:rsidR="00F84E53" w:rsidRPr="00F84E53" w:rsidRDefault="00F84E53" w:rsidP="00294DC0">
      <w:pPr>
        <w:numPr>
          <w:ilvl w:val="0"/>
          <w:numId w:val="14"/>
        </w:numPr>
        <w:suppressAutoHyphens w:val="0"/>
        <w:spacing w:before="100" w:beforeAutospacing="1" w:after="100" w:afterAutospacing="1" w:line="240" w:lineRule="atLeast"/>
        <w:jc w:val="both"/>
        <w:rPr>
          <w:rFonts w:cs="Times New Roman"/>
          <w:color w:val="242424"/>
          <w:sz w:val="28"/>
          <w:szCs w:val="28"/>
          <w:lang w:val="ru-RU" w:eastAsia="ru-RU"/>
        </w:rPr>
      </w:pPr>
      <w:r w:rsidRPr="00F84E53">
        <w:rPr>
          <w:rFonts w:cs="Times New Roman"/>
          <w:color w:val="242424"/>
          <w:sz w:val="28"/>
          <w:szCs w:val="28"/>
          <w:lang w:val="ru-RU" w:eastAsia="ru-RU"/>
        </w:rPr>
        <w:t>– організацію побуту, різноманітних форм дозвілля, подорожей, працевлаштування студентів;</w:t>
      </w:r>
    </w:p>
    <w:p w:rsidR="00294DC0" w:rsidRPr="00294DC0" w:rsidRDefault="00F84E53" w:rsidP="00294DC0">
      <w:pPr>
        <w:numPr>
          <w:ilvl w:val="0"/>
          <w:numId w:val="14"/>
        </w:numPr>
        <w:suppressAutoHyphens w:val="0"/>
        <w:spacing w:before="100" w:beforeAutospacing="1" w:after="100" w:afterAutospacing="1" w:line="240" w:lineRule="atLeast"/>
        <w:jc w:val="both"/>
        <w:rPr>
          <w:rFonts w:cs="Times New Roman"/>
          <w:color w:val="222222"/>
          <w:sz w:val="28"/>
          <w:szCs w:val="28"/>
          <w:lang w:val="ru-RU" w:eastAsia="ru-RU"/>
        </w:rPr>
      </w:pPr>
      <w:r w:rsidRPr="00F84E53">
        <w:rPr>
          <w:rFonts w:cs="Times New Roman"/>
          <w:color w:val="242424"/>
          <w:sz w:val="28"/>
          <w:szCs w:val="28"/>
          <w:lang w:val="ru-RU" w:eastAsia="ru-RU"/>
        </w:rPr>
        <w:t>– створення нового інформаційного простору для студентів університету та їх зв'язок із світовими інформаційними джерелами.</w:t>
      </w:r>
    </w:p>
    <w:p w:rsidR="00F84E53" w:rsidRPr="00294DC0" w:rsidRDefault="00F84E53" w:rsidP="00294DC0">
      <w:pPr>
        <w:suppressAutoHyphens w:val="0"/>
        <w:spacing w:before="100" w:beforeAutospacing="1" w:after="100" w:afterAutospacing="1" w:line="240" w:lineRule="atLeast"/>
        <w:ind w:left="720"/>
        <w:jc w:val="both"/>
        <w:rPr>
          <w:rFonts w:cs="Times New Roman"/>
          <w:color w:val="222222"/>
          <w:sz w:val="28"/>
          <w:szCs w:val="28"/>
          <w:lang w:val="ru-RU" w:eastAsia="ru-RU"/>
        </w:rPr>
      </w:pPr>
      <w:r w:rsidRPr="00F84E53">
        <w:rPr>
          <w:rFonts w:cs="Times New Roman"/>
          <w:color w:val="222222"/>
          <w:sz w:val="28"/>
          <w:szCs w:val="28"/>
          <w:lang w:val="ru-RU" w:eastAsia="ru-RU"/>
        </w:rPr>
        <w:t>Участь у студентському самоврядуванні дає змогу виявити потенційних лідерів, виробити в них навички управлінської та організаторської роботи, сформувати майбутню еліту нації. Без вирішення проблем студентського самоврядування неможливо досягти європейської якості освіти і підготувати конкурентоспроможних фахівців.</w:t>
      </w:r>
    </w:p>
    <w:p w:rsidR="00F84E53" w:rsidRDefault="00F84E53" w:rsidP="00294DC0">
      <w:pPr>
        <w:suppressAutoHyphens w:val="0"/>
        <w:spacing w:before="100" w:beforeAutospacing="1" w:after="100" w:afterAutospacing="1"/>
        <w:jc w:val="both"/>
        <w:rPr>
          <w:rFonts w:ascii="Arial" w:hAnsi="Arial" w:cs="Arial"/>
          <w:i/>
          <w:color w:val="4D5156"/>
          <w:sz w:val="21"/>
          <w:szCs w:val="21"/>
          <w:shd w:val="clear" w:color="auto" w:fill="FFFFFF"/>
        </w:rPr>
      </w:pPr>
      <w:r w:rsidRPr="00F84E53">
        <w:rPr>
          <w:rFonts w:ascii="Arial" w:hAnsi="Arial" w:cs="Arial"/>
          <w:bCs/>
          <w:i/>
          <w:color w:val="5F6368"/>
          <w:sz w:val="21"/>
          <w:szCs w:val="21"/>
          <w:shd w:val="clear" w:color="auto" w:fill="FFFFFF"/>
        </w:rPr>
        <w:t>Фіцула М</w:t>
      </w:r>
      <w:r w:rsidRPr="00F84E53">
        <w:rPr>
          <w:rFonts w:ascii="Arial" w:hAnsi="Arial" w:cs="Arial"/>
          <w:i/>
          <w:color w:val="4D5156"/>
          <w:sz w:val="21"/>
          <w:szCs w:val="21"/>
          <w:shd w:val="clear" w:color="auto" w:fill="FFFFFF"/>
        </w:rPr>
        <w:t>. </w:t>
      </w:r>
      <w:r w:rsidRPr="00F84E53">
        <w:rPr>
          <w:rFonts w:ascii="Arial" w:hAnsi="Arial" w:cs="Arial"/>
          <w:bCs/>
          <w:i/>
          <w:color w:val="5F6368"/>
          <w:sz w:val="21"/>
          <w:szCs w:val="21"/>
          <w:shd w:val="clear" w:color="auto" w:fill="FFFFFF"/>
        </w:rPr>
        <w:t>М</w:t>
      </w:r>
      <w:r w:rsidRPr="00F84E53">
        <w:rPr>
          <w:rFonts w:ascii="Arial" w:hAnsi="Arial" w:cs="Arial"/>
          <w:i/>
          <w:color w:val="4D5156"/>
          <w:sz w:val="21"/>
          <w:szCs w:val="21"/>
          <w:shd w:val="clear" w:color="auto" w:fill="FFFFFF"/>
        </w:rPr>
        <w:t>. </w:t>
      </w:r>
      <w:r w:rsidRPr="00F84E53">
        <w:rPr>
          <w:rFonts w:ascii="Arial" w:hAnsi="Arial" w:cs="Arial"/>
          <w:bCs/>
          <w:i/>
          <w:color w:val="5F6368"/>
          <w:sz w:val="21"/>
          <w:szCs w:val="21"/>
          <w:shd w:val="clear" w:color="auto" w:fill="FFFFFF"/>
        </w:rPr>
        <w:t>Педагогіка вищої школи</w:t>
      </w:r>
      <w:r w:rsidRPr="00F84E53">
        <w:rPr>
          <w:rFonts w:ascii="Arial" w:hAnsi="Arial" w:cs="Arial"/>
          <w:i/>
          <w:color w:val="4D5156"/>
          <w:sz w:val="21"/>
          <w:szCs w:val="21"/>
          <w:shd w:val="clear" w:color="auto" w:fill="FFFFFF"/>
        </w:rPr>
        <w:t> : </w:t>
      </w:r>
      <w:r w:rsidRPr="00F84E53">
        <w:rPr>
          <w:rFonts w:ascii="Arial" w:hAnsi="Arial" w:cs="Arial"/>
          <w:bCs/>
          <w:i/>
          <w:color w:val="5F6368"/>
          <w:sz w:val="21"/>
          <w:szCs w:val="21"/>
          <w:shd w:val="clear" w:color="auto" w:fill="FFFFFF"/>
        </w:rPr>
        <w:t>навч</w:t>
      </w:r>
      <w:r w:rsidRPr="00F84E53">
        <w:rPr>
          <w:rFonts w:ascii="Arial" w:hAnsi="Arial" w:cs="Arial"/>
          <w:i/>
          <w:color w:val="4D5156"/>
          <w:sz w:val="21"/>
          <w:szCs w:val="21"/>
          <w:shd w:val="clear" w:color="auto" w:fill="FFFFFF"/>
        </w:rPr>
        <w:t>. </w:t>
      </w:r>
      <w:r w:rsidRPr="00F84E53">
        <w:rPr>
          <w:rFonts w:ascii="Arial" w:hAnsi="Arial" w:cs="Arial"/>
          <w:bCs/>
          <w:i/>
          <w:color w:val="5F6368"/>
          <w:sz w:val="21"/>
          <w:szCs w:val="21"/>
          <w:shd w:val="clear" w:color="auto" w:fill="FFFFFF"/>
        </w:rPr>
        <w:t>посіб</w:t>
      </w:r>
      <w:r w:rsidRPr="00F84E53">
        <w:rPr>
          <w:rFonts w:ascii="Arial" w:hAnsi="Arial" w:cs="Arial"/>
          <w:i/>
          <w:color w:val="4D5156"/>
          <w:sz w:val="21"/>
          <w:szCs w:val="21"/>
          <w:shd w:val="clear" w:color="auto" w:fill="FFFFFF"/>
        </w:rPr>
        <w:t>. К. : </w:t>
      </w:r>
      <w:r w:rsidRPr="00F84E53">
        <w:rPr>
          <w:rFonts w:ascii="Arial" w:hAnsi="Arial" w:cs="Arial"/>
          <w:bCs/>
          <w:i/>
          <w:color w:val="5F6368"/>
          <w:sz w:val="21"/>
          <w:szCs w:val="21"/>
          <w:shd w:val="clear" w:color="auto" w:fill="FFFFFF"/>
        </w:rPr>
        <w:t>Академвидав</w:t>
      </w:r>
      <w:r w:rsidRPr="00F84E53">
        <w:rPr>
          <w:rFonts w:ascii="Arial" w:hAnsi="Arial" w:cs="Arial"/>
          <w:i/>
          <w:color w:val="4D5156"/>
          <w:sz w:val="21"/>
          <w:szCs w:val="21"/>
          <w:shd w:val="clear" w:color="auto" w:fill="FFFFFF"/>
        </w:rPr>
        <w:t>, </w:t>
      </w:r>
      <w:r w:rsidRPr="00F84E53">
        <w:rPr>
          <w:rFonts w:ascii="Arial" w:hAnsi="Arial" w:cs="Arial"/>
          <w:bCs/>
          <w:i/>
          <w:color w:val="5F6368"/>
          <w:sz w:val="21"/>
          <w:szCs w:val="21"/>
          <w:shd w:val="clear" w:color="auto" w:fill="FFFFFF"/>
        </w:rPr>
        <w:t>2014</w:t>
      </w:r>
      <w:r w:rsidRPr="00F84E53">
        <w:rPr>
          <w:rFonts w:ascii="Arial" w:hAnsi="Arial" w:cs="Arial"/>
          <w:i/>
          <w:color w:val="4D5156"/>
          <w:sz w:val="21"/>
          <w:szCs w:val="21"/>
          <w:shd w:val="clear" w:color="auto" w:fill="FFFFFF"/>
        </w:rPr>
        <w:t>. </w:t>
      </w:r>
      <w:r w:rsidRPr="00F84E53">
        <w:rPr>
          <w:rFonts w:ascii="Arial" w:hAnsi="Arial" w:cs="Arial"/>
          <w:bCs/>
          <w:i/>
          <w:color w:val="5F6368"/>
          <w:sz w:val="21"/>
          <w:szCs w:val="21"/>
          <w:shd w:val="clear" w:color="auto" w:fill="FFFFFF"/>
        </w:rPr>
        <w:t>454</w:t>
      </w:r>
      <w:r w:rsidRPr="00F84E53">
        <w:rPr>
          <w:rFonts w:ascii="Arial" w:hAnsi="Arial" w:cs="Arial"/>
          <w:i/>
          <w:color w:val="4D5156"/>
          <w:sz w:val="21"/>
          <w:szCs w:val="21"/>
          <w:shd w:val="clear" w:color="auto" w:fill="FFFFFF"/>
        </w:rPr>
        <w:t> с.</w:t>
      </w:r>
    </w:p>
    <w:p w:rsidR="00294DC0" w:rsidRPr="00F84E53" w:rsidRDefault="00294DC0" w:rsidP="00294DC0">
      <w:pPr>
        <w:suppressAutoHyphens w:val="0"/>
        <w:spacing w:before="100" w:beforeAutospacing="1" w:after="100" w:afterAutospacing="1"/>
        <w:jc w:val="both"/>
        <w:rPr>
          <w:rFonts w:cs="Times New Roman"/>
          <w:i/>
          <w:color w:val="222222"/>
          <w:sz w:val="28"/>
          <w:szCs w:val="28"/>
          <w:lang w:eastAsia="ru-RU"/>
        </w:rPr>
      </w:pPr>
      <w:r w:rsidRPr="00294DC0">
        <w:rPr>
          <w:rFonts w:cs="Times New Roman"/>
          <w:i/>
          <w:color w:val="222222"/>
          <w:sz w:val="28"/>
          <w:szCs w:val="28"/>
          <w:lang w:val="ru-RU" w:eastAsia="ru-RU"/>
        </w:rPr>
        <w:t>https</w:t>
      </w:r>
      <w:r w:rsidRPr="00294DC0">
        <w:rPr>
          <w:rFonts w:cs="Times New Roman"/>
          <w:i/>
          <w:color w:val="222222"/>
          <w:sz w:val="28"/>
          <w:szCs w:val="28"/>
          <w:lang w:eastAsia="ru-RU"/>
        </w:rPr>
        <w:t>://</w:t>
      </w:r>
      <w:r w:rsidRPr="00294DC0">
        <w:rPr>
          <w:rFonts w:cs="Times New Roman"/>
          <w:i/>
          <w:color w:val="222222"/>
          <w:sz w:val="28"/>
          <w:szCs w:val="28"/>
          <w:lang w:val="ru-RU" w:eastAsia="ru-RU"/>
        </w:rPr>
        <w:t>pidru</w:t>
      </w:r>
      <w:r w:rsidRPr="00294DC0">
        <w:rPr>
          <w:rFonts w:cs="Times New Roman"/>
          <w:i/>
          <w:color w:val="222222"/>
          <w:sz w:val="28"/>
          <w:szCs w:val="28"/>
          <w:lang w:eastAsia="ru-RU"/>
        </w:rPr>
        <w:t>4</w:t>
      </w:r>
      <w:r w:rsidRPr="00294DC0">
        <w:rPr>
          <w:rFonts w:cs="Times New Roman"/>
          <w:i/>
          <w:color w:val="222222"/>
          <w:sz w:val="28"/>
          <w:szCs w:val="28"/>
          <w:lang w:val="ru-RU" w:eastAsia="ru-RU"/>
        </w:rPr>
        <w:t>niki</w:t>
      </w:r>
      <w:r w:rsidRPr="00294DC0">
        <w:rPr>
          <w:rFonts w:cs="Times New Roman"/>
          <w:i/>
          <w:color w:val="222222"/>
          <w:sz w:val="28"/>
          <w:szCs w:val="28"/>
          <w:lang w:eastAsia="ru-RU"/>
        </w:rPr>
        <w:t>.</w:t>
      </w:r>
      <w:r w:rsidRPr="00294DC0">
        <w:rPr>
          <w:rFonts w:cs="Times New Roman"/>
          <w:i/>
          <w:color w:val="222222"/>
          <w:sz w:val="28"/>
          <w:szCs w:val="28"/>
          <w:lang w:val="ru-RU" w:eastAsia="ru-RU"/>
        </w:rPr>
        <w:t>com</w:t>
      </w:r>
      <w:r w:rsidRPr="00294DC0">
        <w:rPr>
          <w:rFonts w:cs="Times New Roman"/>
          <w:i/>
          <w:color w:val="222222"/>
          <w:sz w:val="28"/>
          <w:szCs w:val="28"/>
          <w:lang w:eastAsia="ru-RU"/>
        </w:rPr>
        <w:t>/70197/</w:t>
      </w:r>
      <w:r w:rsidRPr="00294DC0">
        <w:rPr>
          <w:rFonts w:cs="Times New Roman"/>
          <w:i/>
          <w:color w:val="222222"/>
          <w:sz w:val="28"/>
          <w:szCs w:val="28"/>
          <w:lang w:val="ru-RU" w:eastAsia="ru-RU"/>
        </w:rPr>
        <w:t>pedagogika</w:t>
      </w:r>
      <w:r w:rsidRPr="00294DC0">
        <w:rPr>
          <w:rFonts w:cs="Times New Roman"/>
          <w:i/>
          <w:color w:val="222222"/>
          <w:sz w:val="28"/>
          <w:szCs w:val="28"/>
          <w:lang w:eastAsia="ru-RU"/>
        </w:rPr>
        <w:t>/</w:t>
      </w:r>
      <w:r w:rsidRPr="00294DC0">
        <w:rPr>
          <w:rFonts w:cs="Times New Roman"/>
          <w:i/>
          <w:color w:val="222222"/>
          <w:sz w:val="28"/>
          <w:szCs w:val="28"/>
          <w:lang w:val="ru-RU" w:eastAsia="ru-RU"/>
        </w:rPr>
        <w:t>struktura</w:t>
      </w:r>
      <w:r w:rsidRPr="00294DC0">
        <w:rPr>
          <w:rFonts w:cs="Times New Roman"/>
          <w:i/>
          <w:color w:val="222222"/>
          <w:sz w:val="28"/>
          <w:szCs w:val="28"/>
          <w:lang w:eastAsia="ru-RU"/>
        </w:rPr>
        <w:t>_</w:t>
      </w:r>
      <w:r w:rsidRPr="00294DC0">
        <w:rPr>
          <w:rFonts w:cs="Times New Roman"/>
          <w:i/>
          <w:color w:val="222222"/>
          <w:sz w:val="28"/>
          <w:szCs w:val="28"/>
          <w:lang w:val="ru-RU" w:eastAsia="ru-RU"/>
        </w:rPr>
        <w:t>upravlinnya</w:t>
      </w:r>
      <w:r w:rsidRPr="00294DC0">
        <w:rPr>
          <w:rFonts w:cs="Times New Roman"/>
          <w:i/>
          <w:color w:val="222222"/>
          <w:sz w:val="28"/>
          <w:szCs w:val="28"/>
          <w:lang w:eastAsia="ru-RU"/>
        </w:rPr>
        <w:t>_</w:t>
      </w:r>
      <w:r w:rsidRPr="00294DC0">
        <w:rPr>
          <w:rFonts w:cs="Times New Roman"/>
          <w:i/>
          <w:color w:val="222222"/>
          <w:sz w:val="28"/>
          <w:szCs w:val="28"/>
          <w:lang w:val="ru-RU" w:eastAsia="ru-RU"/>
        </w:rPr>
        <w:t>vischim</w:t>
      </w:r>
      <w:r w:rsidRPr="00294DC0">
        <w:rPr>
          <w:rFonts w:cs="Times New Roman"/>
          <w:i/>
          <w:color w:val="222222"/>
          <w:sz w:val="28"/>
          <w:szCs w:val="28"/>
          <w:lang w:eastAsia="ru-RU"/>
        </w:rPr>
        <w:t>_</w:t>
      </w:r>
      <w:r w:rsidRPr="00294DC0">
        <w:rPr>
          <w:rFonts w:cs="Times New Roman"/>
          <w:i/>
          <w:color w:val="222222"/>
          <w:sz w:val="28"/>
          <w:szCs w:val="28"/>
          <w:lang w:val="ru-RU" w:eastAsia="ru-RU"/>
        </w:rPr>
        <w:t>navchalnim</w:t>
      </w:r>
      <w:r w:rsidRPr="00294DC0">
        <w:rPr>
          <w:rFonts w:cs="Times New Roman"/>
          <w:i/>
          <w:color w:val="222222"/>
          <w:sz w:val="28"/>
          <w:szCs w:val="28"/>
          <w:lang w:eastAsia="ru-RU"/>
        </w:rPr>
        <w:t>_</w:t>
      </w:r>
      <w:r w:rsidRPr="00294DC0">
        <w:rPr>
          <w:rFonts w:cs="Times New Roman"/>
          <w:i/>
          <w:color w:val="222222"/>
          <w:sz w:val="28"/>
          <w:szCs w:val="28"/>
          <w:lang w:val="ru-RU" w:eastAsia="ru-RU"/>
        </w:rPr>
        <w:t>zakladom</w:t>
      </w:r>
    </w:p>
    <w:p w:rsidR="00F84E53" w:rsidRPr="00294DC0" w:rsidRDefault="00F84E53" w:rsidP="00F84E53">
      <w:pPr>
        <w:pStyle w:val="a7"/>
        <w:spacing w:line="360" w:lineRule="auto"/>
        <w:jc w:val="both"/>
        <w:rPr>
          <w:color w:val="222222"/>
          <w:sz w:val="28"/>
          <w:szCs w:val="28"/>
          <w:lang w:val="uk-UA"/>
        </w:rPr>
      </w:pPr>
    </w:p>
    <w:p w:rsidR="00F84E53" w:rsidRPr="00294DC0" w:rsidRDefault="00F84E53" w:rsidP="00F84E53">
      <w:pPr>
        <w:pStyle w:val="a7"/>
        <w:spacing w:line="360" w:lineRule="auto"/>
        <w:jc w:val="both"/>
        <w:rPr>
          <w:color w:val="222222"/>
          <w:sz w:val="28"/>
          <w:szCs w:val="28"/>
          <w:lang w:val="uk-UA"/>
        </w:rPr>
      </w:pPr>
    </w:p>
    <w:p w:rsidR="00F84E53" w:rsidRPr="00294DC0" w:rsidRDefault="00F84E53" w:rsidP="00F84E53">
      <w:pPr>
        <w:pStyle w:val="a7"/>
        <w:spacing w:line="360" w:lineRule="auto"/>
        <w:jc w:val="both"/>
        <w:rPr>
          <w:color w:val="222222"/>
          <w:sz w:val="28"/>
          <w:szCs w:val="28"/>
          <w:lang w:val="uk-UA"/>
        </w:rPr>
      </w:pPr>
    </w:p>
    <w:p w:rsidR="00161665" w:rsidRPr="00294DC0" w:rsidRDefault="00161665" w:rsidP="00F84E53">
      <w:pPr>
        <w:spacing w:line="360" w:lineRule="auto"/>
        <w:jc w:val="both"/>
        <w:rPr>
          <w:rFonts w:cs="Times New Roman"/>
          <w:sz w:val="28"/>
          <w:szCs w:val="28"/>
        </w:rPr>
      </w:pPr>
    </w:p>
    <w:sectPr w:rsidR="00161665" w:rsidRPr="00294D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Cyr"/>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3974"/>
        </w:tabs>
        <w:ind w:left="3974" w:hanging="432"/>
      </w:pPr>
      <w:rPr>
        <w:rFonts w:cs="Times New Roman"/>
      </w:rPr>
    </w:lvl>
    <w:lvl w:ilvl="1">
      <w:start w:val="1"/>
      <w:numFmt w:val="none"/>
      <w:lvlText w:val=""/>
      <w:lvlJc w:val="left"/>
      <w:pPr>
        <w:tabs>
          <w:tab w:val="num" w:pos="4118"/>
        </w:tabs>
        <w:ind w:left="4118" w:hanging="576"/>
      </w:pPr>
      <w:rPr>
        <w:rFonts w:cs="Times New Roman"/>
      </w:rPr>
    </w:lvl>
    <w:lvl w:ilvl="2">
      <w:start w:val="1"/>
      <w:numFmt w:val="none"/>
      <w:pStyle w:val="3"/>
      <w:lvlText w:val=""/>
      <w:lvlJc w:val="left"/>
      <w:pPr>
        <w:tabs>
          <w:tab w:val="num" w:pos="4262"/>
        </w:tabs>
        <w:ind w:left="4262" w:hanging="720"/>
      </w:pPr>
      <w:rPr>
        <w:rFonts w:cs="Times New Roman"/>
      </w:rPr>
    </w:lvl>
    <w:lvl w:ilvl="3">
      <w:start w:val="1"/>
      <w:numFmt w:val="none"/>
      <w:pStyle w:val="4"/>
      <w:lvlText w:val=""/>
      <w:lvlJc w:val="left"/>
      <w:pPr>
        <w:tabs>
          <w:tab w:val="num" w:pos="4406"/>
        </w:tabs>
        <w:ind w:left="4406" w:hanging="864"/>
      </w:pPr>
      <w:rPr>
        <w:rFonts w:cs="Times New Roman"/>
      </w:rPr>
    </w:lvl>
    <w:lvl w:ilvl="4">
      <w:start w:val="1"/>
      <w:numFmt w:val="none"/>
      <w:lvlText w:val=""/>
      <w:lvlJc w:val="left"/>
      <w:pPr>
        <w:tabs>
          <w:tab w:val="num" w:pos="4550"/>
        </w:tabs>
        <w:ind w:left="4550" w:hanging="1008"/>
      </w:pPr>
      <w:rPr>
        <w:rFonts w:cs="Times New Roman"/>
      </w:rPr>
    </w:lvl>
    <w:lvl w:ilvl="5">
      <w:start w:val="1"/>
      <w:numFmt w:val="none"/>
      <w:lvlText w:val=""/>
      <w:lvlJc w:val="left"/>
      <w:pPr>
        <w:tabs>
          <w:tab w:val="num" w:pos="4694"/>
        </w:tabs>
        <w:ind w:left="4694" w:hanging="1152"/>
      </w:pPr>
      <w:rPr>
        <w:rFonts w:cs="Times New Roman"/>
      </w:rPr>
    </w:lvl>
    <w:lvl w:ilvl="6">
      <w:start w:val="1"/>
      <w:numFmt w:val="none"/>
      <w:lvlText w:val=""/>
      <w:lvlJc w:val="left"/>
      <w:pPr>
        <w:tabs>
          <w:tab w:val="num" w:pos="4838"/>
        </w:tabs>
        <w:ind w:left="4838" w:hanging="1296"/>
      </w:pPr>
      <w:rPr>
        <w:rFonts w:cs="Times New Roman"/>
      </w:rPr>
    </w:lvl>
    <w:lvl w:ilvl="7">
      <w:start w:val="1"/>
      <w:numFmt w:val="none"/>
      <w:lvlText w:val=""/>
      <w:lvlJc w:val="left"/>
      <w:pPr>
        <w:tabs>
          <w:tab w:val="num" w:pos="4982"/>
        </w:tabs>
        <w:ind w:left="4982" w:hanging="1440"/>
      </w:pPr>
      <w:rPr>
        <w:rFonts w:cs="Times New Roman"/>
      </w:rPr>
    </w:lvl>
    <w:lvl w:ilvl="8">
      <w:start w:val="1"/>
      <w:numFmt w:val="none"/>
      <w:lvlText w:val=""/>
      <w:lvlJc w:val="left"/>
      <w:pPr>
        <w:tabs>
          <w:tab w:val="num" w:pos="5126"/>
        </w:tabs>
        <w:ind w:left="5126" w:hanging="1584"/>
      </w:pPr>
      <w:rPr>
        <w:rFonts w:cs="Times New Roman"/>
      </w:rPr>
    </w:lvl>
  </w:abstractNum>
  <w:abstractNum w:abstractNumId="1" w15:restartNumberingAfterBreak="0">
    <w:nsid w:val="18537040"/>
    <w:multiLevelType w:val="multilevel"/>
    <w:tmpl w:val="45BC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94CBB"/>
    <w:multiLevelType w:val="multilevel"/>
    <w:tmpl w:val="C5E2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C81392"/>
    <w:multiLevelType w:val="multilevel"/>
    <w:tmpl w:val="19F2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776F4"/>
    <w:multiLevelType w:val="multilevel"/>
    <w:tmpl w:val="847A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F55515"/>
    <w:multiLevelType w:val="multilevel"/>
    <w:tmpl w:val="871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DD"/>
    <w:rsid w:val="00110824"/>
    <w:rsid w:val="00161665"/>
    <w:rsid w:val="00294DC0"/>
    <w:rsid w:val="00DC59DD"/>
    <w:rsid w:val="00F84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7166"/>
  <w15:chartTrackingRefBased/>
  <w15:docId w15:val="{1120B796-ACBA-42A2-B922-12820622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824"/>
    <w:pPr>
      <w:suppressAutoHyphens/>
      <w:spacing w:after="0" w:line="240" w:lineRule="auto"/>
    </w:pPr>
    <w:rPr>
      <w:rFonts w:ascii="Times New Roman" w:hAnsi="Times New Roman"/>
      <w:sz w:val="24"/>
      <w:szCs w:val="24"/>
      <w:lang w:val="uk-UA" w:eastAsia="ar-SA"/>
    </w:rPr>
  </w:style>
  <w:style w:type="paragraph" w:styleId="1">
    <w:name w:val="heading 1"/>
    <w:basedOn w:val="a"/>
    <w:next w:val="a"/>
    <w:link w:val="10"/>
    <w:uiPriority w:val="99"/>
    <w:qFormat/>
    <w:rsid w:val="00110824"/>
    <w:pPr>
      <w:keepNext/>
      <w:numPr>
        <w:numId w:val="1"/>
      </w:numPr>
      <w:tabs>
        <w:tab w:val="num" w:pos="1850"/>
      </w:tabs>
      <w:spacing w:after="240"/>
      <w:ind w:left="1850"/>
      <w:jc w:val="center"/>
      <w:outlineLvl w:val="0"/>
    </w:pPr>
    <w:rPr>
      <w:rFonts w:ascii="Arial" w:hAnsi="Arial" w:cs="Times New Roman"/>
      <w:b/>
      <w:caps/>
      <w:sz w:val="20"/>
      <w:szCs w:val="22"/>
    </w:rPr>
  </w:style>
  <w:style w:type="paragraph" w:styleId="2">
    <w:name w:val="heading 2"/>
    <w:basedOn w:val="a"/>
    <w:next w:val="a"/>
    <w:link w:val="20"/>
    <w:uiPriority w:val="99"/>
    <w:qFormat/>
    <w:rsid w:val="00110824"/>
    <w:pPr>
      <w:keepNext/>
      <w:suppressAutoHyphens w:val="0"/>
      <w:spacing w:before="240" w:after="60"/>
      <w:outlineLvl w:val="1"/>
    </w:pPr>
    <w:rPr>
      <w:rFonts w:ascii="Arial" w:hAnsi="Arial" w:cs="Times New Roman"/>
      <w:b/>
      <w:i/>
      <w:sz w:val="28"/>
      <w:szCs w:val="22"/>
      <w:lang w:val="x-none" w:eastAsia="ru-RU"/>
    </w:rPr>
  </w:style>
  <w:style w:type="paragraph" w:styleId="3">
    <w:name w:val="heading 3"/>
    <w:basedOn w:val="a"/>
    <w:next w:val="a"/>
    <w:link w:val="30"/>
    <w:uiPriority w:val="99"/>
    <w:qFormat/>
    <w:rsid w:val="00110824"/>
    <w:pPr>
      <w:keepNext/>
      <w:numPr>
        <w:ilvl w:val="2"/>
        <w:numId w:val="1"/>
      </w:numPr>
      <w:tabs>
        <w:tab w:val="num" w:pos="2138"/>
      </w:tabs>
      <w:spacing w:after="120"/>
      <w:ind w:firstLine="658"/>
      <w:outlineLvl w:val="2"/>
    </w:pPr>
    <w:rPr>
      <w:rFonts w:ascii="Arial" w:hAnsi="Arial" w:cs="Times New Roman"/>
      <w:i/>
      <w:sz w:val="18"/>
      <w:szCs w:val="22"/>
    </w:rPr>
  </w:style>
  <w:style w:type="paragraph" w:styleId="4">
    <w:name w:val="heading 4"/>
    <w:basedOn w:val="a"/>
    <w:next w:val="a"/>
    <w:link w:val="40"/>
    <w:uiPriority w:val="99"/>
    <w:qFormat/>
    <w:rsid w:val="00110824"/>
    <w:pPr>
      <w:keepNext/>
      <w:widowControl w:val="0"/>
      <w:numPr>
        <w:ilvl w:val="3"/>
        <w:numId w:val="1"/>
      </w:numPr>
      <w:ind w:firstLine="560"/>
      <w:outlineLvl w:val="3"/>
    </w:pPr>
    <w:rPr>
      <w:rFonts w:cs="Times New Roman"/>
      <w:b/>
      <w:i/>
      <w:sz w:val="20"/>
      <w:szCs w:val="22"/>
    </w:rPr>
  </w:style>
  <w:style w:type="paragraph" w:styleId="5">
    <w:name w:val="heading 5"/>
    <w:basedOn w:val="a"/>
    <w:next w:val="a"/>
    <w:link w:val="50"/>
    <w:uiPriority w:val="99"/>
    <w:qFormat/>
    <w:rsid w:val="00110824"/>
    <w:pPr>
      <w:suppressAutoHyphens w:val="0"/>
      <w:spacing w:before="240" w:after="60"/>
      <w:outlineLvl w:val="4"/>
    </w:pPr>
    <w:rPr>
      <w:rFonts w:cs="Times New Roman"/>
      <w:b/>
      <w:i/>
      <w:sz w:val="26"/>
      <w:szCs w:val="22"/>
      <w:lang w:val="x-none" w:eastAsia="ru-RU"/>
    </w:rPr>
  </w:style>
  <w:style w:type="paragraph" w:styleId="6">
    <w:name w:val="heading 6"/>
    <w:basedOn w:val="a"/>
    <w:next w:val="a"/>
    <w:link w:val="60"/>
    <w:uiPriority w:val="99"/>
    <w:qFormat/>
    <w:rsid w:val="00110824"/>
    <w:pPr>
      <w:suppressAutoHyphens w:val="0"/>
      <w:spacing w:before="240" w:after="60"/>
      <w:outlineLvl w:val="5"/>
    </w:pPr>
    <w:rPr>
      <w:rFonts w:cs="Times New Roman"/>
      <w:b/>
      <w:sz w:val="22"/>
      <w:szCs w:val="22"/>
      <w:lang w:val="x-none" w:eastAsia="ru-RU"/>
    </w:rPr>
  </w:style>
  <w:style w:type="paragraph" w:styleId="7">
    <w:name w:val="heading 7"/>
    <w:basedOn w:val="a"/>
    <w:next w:val="a"/>
    <w:link w:val="70"/>
    <w:uiPriority w:val="9"/>
    <w:unhideWhenUsed/>
    <w:qFormat/>
    <w:rsid w:val="00110824"/>
    <w:pPr>
      <w:spacing w:before="240" w:after="60"/>
      <w:outlineLvl w:val="6"/>
    </w:pPr>
    <w:rPr>
      <w:rFonts w:asciiTheme="minorHAnsi" w:eastAsiaTheme="minorEastAsia" w:hAnsiTheme="min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0824"/>
    <w:rPr>
      <w:rFonts w:ascii="Arial" w:hAnsi="Arial" w:cs="Times New Roman"/>
      <w:b/>
      <w:caps/>
      <w:sz w:val="20"/>
      <w:lang w:val="uk-UA" w:eastAsia="ar-SA"/>
    </w:rPr>
  </w:style>
  <w:style w:type="character" w:customStyle="1" w:styleId="20">
    <w:name w:val="Заголовок 2 Знак"/>
    <w:basedOn w:val="a0"/>
    <w:link w:val="2"/>
    <w:uiPriority w:val="99"/>
    <w:rsid w:val="00110824"/>
    <w:rPr>
      <w:rFonts w:ascii="Arial" w:hAnsi="Arial" w:cs="Times New Roman"/>
      <w:b/>
      <w:i/>
      <w:sz w:val="28"/>
      <w:lang w:val="x-none" w:eastAsia="ru-RU"/>
    </w:rPr>
  </w:style>
  <w:style w:type="character" w:customStyle="1" w:styleId="30">
    <w:name w:val="Заголовок 3 Знак"/>
    <w:basedOn w:val="a0"/>
    <w:link w:val="3"/>
    <w:uiPriority w:val="99"/>
    <w:rsid w:val="00110824"/>
    <w:rPr>
      <w:rFonts w:ascii="Arial" w:hAnsi="Arial" w:cs="Times New Roman"/>
      <w:i/>
      <w:sz w:val="18"/>
      <w:lang w:val="uk-UA" w:eastAsia="ar-SA"/>
    </w:rPr>
  </w:style>
  <w:style w:type="character" w:customStyle="1" w:styleId="40">
    <w:name w:val="Заголовок 4 Знак"/>
    <w:basedOn w:val="a0"/>
    <w:link w:val="4"/>
    <w:uiPriority w:val="99"/>
    <w:rsid w:val="00110824"/>
    <w:rPr>
      <w:rFonts w:ascii="Times New Roman" w:hAnsi="Times New Roman" w:cs="Times New Roman"/>
      <w:b/>
      <w:i/>
      <w:sz w:val="20"/>
      <w:lang w:val="uk-UA" w:eastAsia="ar-SA"/>
    </w:rPr>
  </w:style>
  <w:style w:type="character" w:customStyle="1" w:styleId="50">
    <w:name w:val="Заголовок 5 Знак"/>
    <w:basedOn w:val="a0"/>
    <w:link w:val="5"/>
    <w:uiPriority w:val="99"/>
    <w:rsid w:val="00110824"/>
    <w:rPr>
      <w:rFonts w:ascii="Times New Roman" w:hAnsi="Times New Roman" w:cs="Times New Roman"/>
      <w:b/>
      <w:i/>
      <w:sz w:val="26"/>
      <w:lang w:val="x-none" w:eastAsia="ru-RU"/>
    </w:rPr>
  </w:style>
  <w:style w:type="character" w:customStyle="1" w:styleId="60">
    <w:name w:val="Заголовок 6 Знак"/>
    <w:basedOn w:val="a0"/>
    <w:link w:val="6"/>
    <w:uiPriority w:val="99"/>
    <w:rsid w:val="00110824"/>
    <w:rPr>
      <w:rFonts w:ascii="Times New Roman" w:hAnsi="Times New Roman" w:cs="Times New Roman"/>
      <w:b/>
      <w:lang w:val="x-none" w:eastAsia="ru-RU"/>
    </w:rPr>
  </w:style>
  <w:style w:type="character" w:customStyle="1" w:styleId="70">
    <w:name w:val="Заголовок 7 Знак"/>
    <w:basedOn w:val="a0"/>
    <w:link w:val="7"/>
    <w:uiPriority w:val="9"/>
    <w:rsid w:val="00110824"/>
    <w:rPr>
      <w:rFonts w:asciiTheme="minorHAnsi" w:eastAsiaTheme="minorEastAsia" w:hAnsiTheme="minorHAnsi" w:cs="Times New Roman"/>
      <w:sz w:val="24"/>
      <w:szCs w:val="24"/>
      <w:lang w:val="uk-UA" w:eastAsia="ar-SA"/>
    </w:rPr>
  </w:style>
  <w:style w:type="character" w:styleId="a3">
    <w:name w:val="Strong"/>
    <w:basedOn w:val="a0"/>
    <w:uiPriority w:val="99"/>
    <w:qFormat/>
    <w:rsid w:val="00110824"/>
    <w:rPr>
      <w:rFonts w:cs="Times New Roman"/>
      <w:b/>
      <w:bCs/>
    </w:rPr>
  </w:style>
  <w:style w:type="character" w:styleId="a4">
    <w:name w:val="Emphasis"/>
    <w:basedOn w:val="a0"/>
    <w:uiPriority w:val="99"/>
    <w:qFormat/>
    <w:rsid w:val="00110824"/>
    <w:rPr>
      <w:rFonts w:cs="Times New Roman"/>
      <w:i/>
      <w:iCs/>
    </w:rPr>
  </w:style>
  <w:style w:type="paragraph" w:styleId="a5">
    <w:name w:val="No Spacing"/>
    <w:uiPriority w:val="99"/>
    <w:qFormat/>
    <w:rsid w:val="00110824"/>
    <w:pPr>
      <w:spacing w:after="0" w:line="240" w:lineRule="auto"/>
    </w:pPr>
    <w:rPr>
      <w:rFonts w:ascii="Times New Roman" w:hAnsi="Times New Roman" w:cs="Times New Roman"/>
      <w:sz w:val="28"/>
      <w:szCs w:val="24"/>
    </w:rPr>
  </w:style>
  <w:style w:type="paragraph" w:styleId="a6">
    <w:name w:val="List Paragraph"/>
    <w:basedOn w:val="a"/>
    <w:uiPriority w:val="99"/>
    <w:qFormat/>
    <w:rsid w:val="00110824"/>
    <w:pPr>
      <w:suppressAutoHyphens w:val="0"/>
      <w:ind w:left="720"/>
    </w:pPr>
    <w:rPr>
      <w:rFonts w:cs="Times New Roman"/>
      <w:sz w:val="20"/>
      <w:szCs w:val="20"/>
      <w:lang w:val="ru-RU" w:eastAsia="ru-RU"/>
    </w:rPr>
  </w:style>
  <w:style w:type="paragraph" w:styleId="a7">
    <w:name w:val="Normal (Web)"/>
    <w:basedOn w:val="a"/>
    <w:uiPriority w:val="99"/>
    <w:semiHidden/>
    <w:unhideWhenUsed/>
    <w:rsid w:val="00F84E53"/>
    <w:pPr>
      <w:suppressAutoHyphens w:val="0"/>
      <w:spacing w:before="100" w:beforeAutospacing="1" w:after="100" w:afterAutospacing="1"/>
    </w:pPr>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246424">
      <w:bodyDiv w:val="1"/>
      <w:marLeft w:val="0"/>
      <w:marRight w:val="0"/>
      <w:marTop w:val="0"/>
      <w:marBottom w:val="0"/>
      <w:divBdr>
        <w:top w:val="none" w:sz="0" w:space="0" w:color="auto"/>
        <w:left w:val="none" w:sz="0" w:space="0" w:color="auto"/>
        <w:bottom w:val="none" w:sz="0" w:space="0" w:color="auto"/>
        <w:right w:val="none" w:sz="0" w:space="0" w:color="auto"/>
      </w:divBdr>
    </w:div>
    <w:div w:id="2098624367">
      <w:bodyDiv w:val="1"/>
      <w:marLeft w:val="0"/>
      <w:marRight w:val="0"/>
      <w:marTop w:val="0"/>
      <w:marBottom w:val="0"/>
      <w:divBdr>
        <w:top w:val="none" w:sz="0" w:space="0" w:color="auto"/>
        <w:left w:val="none" w:sz="0" w:space="0" w:color="auto"/>
        <w:bottom w:val="none" w:sz="0" w:space="0" w:color="auto"/>
        <w:right w:val="none" w:sz="0" w:space="0" w:color="auto"/>
      </w:divBdr>
    </w:div>
    <w:div w:id="21303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5593</Words>
  <Characters>31881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2023-09-10T09:43:00Z</dcterms:created>
  <dcterms:modified xsi:type="dcterms:W3CDTF">2023-09-10T09:43:00Z</dcterms:modified>
</cp:coreProperties>
</file>