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096" w:rsidRPr="00A30050" w:rsidRDefault="00A30050" w:rsidP="00A30050">
      <w:pPr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bookmarkStart w:id="0" w:name="_GoBack"/>
      <w:r w:rsidRPr="00A3005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Лекція (конспект ) </w:t>
      </w:r>
      <w:r w:rsidRPr="00A30050">
        <w:rPr>
          <w:rFonts w:ascii="Times New Roman" w:hAnsi="Times New Roman" w:cs="Times New Roman"/>
          <w:i/>
          <w:sz w:val="28"/>
          <w:szCs w:val="28"/>
          <w:lang w:val="uk-UA"/>
        </w:rPr>
        <w:t>Тема 9.  Нормативне забезпечення  гендерної  рівності  в  публічному  управлінні</w:t>
      </w:r>
    </w:p>
    <w:p w:rsidR="00A30050" w:rsidRPr="00A30050" w:rsidRDefault="00A30050" w:rsidP="00A30050">
      <w:pPr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30050">
        <w:rPr>
          <w:rFonts w:ascii="Times New Roman" w:hAnsi="Times New Roman" w:cs="Times New Roman"/>
          <w:i/>
          <w:sz w:val="28"/>
          <w:szCs w:val="28"/>
          <w:lang w:val="uk-UA"/>
        </w:rPr>
        <w:t>Питання</w:t>
      </w:r>
    </w:p>
    <w:p w:rsidR="00A30050" w:rsidRPr="00A30050" w:rsidRDefault="00A30050" w:rsidP="00A30050">
      <w:pPr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0050">
        <w:rPr>
          <w:rFonts w:ascii="Times New Roman" w:hAnsi="Times New Roman" w:cs="Times New Roman"/>
          <w:b/>
          <w:sz w:val="28"/>
          <w:szCs w:val="28"/>
          <w:lang w:val="uk-UA"/>
        </w:rPr>
        <w:t>1. Законодавчі  акти  з  гендерної  рівності</w:t>
      </w:r>
    </w:p>
    <w:p w:rsidR="00A30050" w:rsidRPr="00A30050" w:rsidRDefault="00A30050" w:rsidP="00A30050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00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Pr="00A30050">
        <w:rPr>
          <w:rFonts w:ascii="Times New Roman" w:hAnsi="Times New Roman" w:cs="Times New Roman"/>
          <w:b/>
          <w:sz w:val="28"/>
          <w:szCs w:val="28"/>
          <w:lang w:val="uk-UA"/>
        </w:rPr>
        <w:t>Підзаконні нормативні  акти з  гендерної рівності</w:t>
      </w:r>
    </w:p>
    <w:p w:rsidR="00A30050" w:rsidRPr="00A30050" w:rsidRDefault="00A30050" w:rsidP="00A30050">
      <w:pPr>
        <w:spacing w:line="276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30050" w:rsidRPr="00A30050" w:rsidRDefault="00A30050" w:rsidP="00A30050">
      <w:pPr>
        <w:spacing w:line="276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30050">
        <w:rPr>
          <w:rFonts w:ascii="Times New Roman" w:hAnsi="Times New Roman" w:cs="Times New Roman"/>
          <w:b/>
          <w:i/>
          <w:sz w:val="28"/>
          <w:szCs w:val="28"/>
          <w:lang w:val="uk-UA"/>
        </w:rPr>
        <w:t>1. Законодавчі  акти  з  гендерної  рівності</w:t>
      </w:r>
    </w:p>
    <w:p w:rsidR="00A30050" w:rsidRPr="00A30050" w:rsidRDefault="00A30050" w:rsidP="00A30050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0050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A30050">
        <w:rPr>
          <w:rFonts w:ascii="Times New Roman" w:hAnsi="Times New Roman" w:cs="Times New Roman"/>
          <w:sz w:val="28"/>
          <w:szCs w:val="28"/>
          <w:lang w:val="uk-UA"/>
        </w:rPr>
        <w:t xml:space="preserve">вересні 2005 р. парламент прийняв Закон України «Про забезпечення рівних прав можливостей жінок і чоловіків», у якому розглядається впровадження ґендерних підходів як цілісний процес і стратегічний орієнтир. </w:t>
      </w:r>
    </w:p>
    <w:p w:rsidR="00A30050" w:rsidRPr="00A30050" w:rsidRDefault="00A30050" w:rsidP="00A30050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0050">
        <w:rPr>
          <w:rFonts w:ascii="Times New Roman" w:hAnsi="Times New Roman" w:cs="Times New Roman"/>
          <w:sz w:val="28"/>
          <w:szCs w:val="28"/>
          <w:lang w:val="uk-UA"/>
        </w:rPr>
        <w:t xml:space="preserve">Прогресивне значення для України цього документа полягає у тому, що в ньому юридично забезпечуються: </w:t>
      </w:r>
    </w:p>
    <w:p w:rsidR="00A30050" w:rsidRPr="00A30050" w:rsidRDefault="00A30050" w:rsidP="00A30050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0050">
        <w:rPr>
          <w:rFonts w:ascii="Times New Roman" w:hAnsi="Times New Roman" w:cs="Times New Roman"/>
          <w:sz w:val="28"/>
          <w:szCs w:val="28"/>
          <w:lang w:val="uk-UA"/>
        </w:rPr>
        <w:t xml:space="preserve">• узгодження і гармонізація національного законодавства з питань </w:t>
      </w:r>
      <w:proofErr w:type="spellStart"/>
      <w:r w:rsidRPr="00A30050">
        <w:rPr>
          <w:rFonts w:ascii="Times New Roman" w:hAnsi="Times New Roman" w:cs="Times New Roman"/>
          <w:sz w:val="28"/>
          <w:szCs w:val="28"/>
          <w:lang w:val="uk-UA"/>
        </w:rPr>
        <w:t>ґендеру</w:t>
      </w:r>
      <w:proofErr w:type="spellEnd"/>
      <w:r w:rsidRPr="00A30050">
        <w:rPr>
          <w:rFonts w:ascii="Times New Roman" w:hAnsi="Times New Roman" w:cs="Times New Roman"/>
          <w:sz w:val="28"/>
          <w:szCs w:val="28"/>
          <w:lang w:val="uk-UA"/>
        </w:rPr>
        <w:t xml:space="preserve"> з міжнародним; </w:t>
      </w:r>
    </w:p>
    <w:p w:rsidR="00A30050" w:rsidRPr="00A30050" w:rsidRDefault="00A30050" w:rsidP="00A30050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0050">
        <w:rPr>
          <w:rFonts w:ascii="Times New Roman" w:hAnsi="Times New Roman" w:cs="Times New Roman"/>
          <w:sz w:val="28"/>
          <w:szCs w:val="28"/>
          <w:lang w:val="uk-UA"/>
        </w:rPr>
        <w:t xml:space="preserve">• законодавче визнання наявності в країні ґендерної дискримінації в усіх сферах соціального життя і необхідності заборони її як явища, що стримує соціальний прогрес; </w:t>
      </w:r>
    </w:p>
    <w:p w:rsidR="00A30050" w:rsidRPr="00A30050" w:rsidRDefault="00A30050" w:rsidP="00A30050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0050">
        <w:rPr>
          <w:rFonts w:ascii="Times New Roman" w:hAnsi="Times New Roman" w:cs="Times New Roman"/>
          <w:sz w:val="28"/>
          <w:szCs w:val="28"/>
          <w:lang w:val="uk-UA"/>
        </w:rPr>
        <w:t xml:space="preserve">• як спеціальна сфера виокремлене забезпечення рівних прав і можливостей жінок і чоловіків; </w:t>
      </w:r>
    </w:p>
    <w:p w:rsidR="00A30050" w:rsidRPr="00A30050" w:rsidRDefault="00A30050" w:rsidP="00A30050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0050">
        <w:rPr>
          <w:rFonts w:ascii="Times New Roman" w:hAnsi="Times New Roman" w:cs="Times New Roman"/>
          <w:sz w:val="28"/>
          <w:szCs w:val="28"/>
          <w:lang w:val="uk-UA"/>
        </w:rPr>
        <w:t xml:space="preserve">• визнання ґендерної політики як державної і визначення її восьми напрямів; </w:t>
      </w:r>
    </w:p>
    <w:p w:rsidR="00A30050" w:rsidRPr="00A30050" w:rsidRDefault="00A30050" w:rsidP="00A30050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0050">
        <w:rPr>
          <w:rFonts w:ascii="Times New Roman" w:hAnsi="Times New Roman" w:cs="Times New Roman"/>
          <w:sz w:val="28"/>
          <w:szCs w:val="28"/>
          <w:lang w:val="uk-UA"/>
        </w:rPr>
        <w:t xml:space="preserve">• підкреслення ролі і значення забезпечення реальних можливостей для досягнення ґендерної рівності; </w:t>
      </w:r>
    </w:p>
    <w:p w:rsidR="00A30050" w:rsidRPr="00A30050" w:rsidRDefault="00A30050" w:rsidP="00A30050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0050">
        <w:rPr>
          <w:rFonts w:ascii="Times New Roman" w:hAnsi="Times New Roman" w:cs="Times New Roman"/>
          <w:sz w:val="28"/>
          <w:szCs w:val="28"/>
          <w:lang w:val="uk-UA"/>
        </w:rPr>
        <w:t xml:space="preserve">• визначення механізму забезпечення рівних прав і можливостей жінок і чоловіків: системи органів, установ і організацій, наділених повноваженнями щодо забезпечення рівних прав і можливостей статей; </w:t>
      </w:r>
    </w:p>
    <w:p w:rsidR="00A30050" w:rsidRPr="00A30050" w:rsidRDefault="00A30050" w:rsidP="00A30050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0050">
        <w:rPr>
          <w:rFonts w:ascii="Times New Roman" w:hAnsi="Times New Roman" w:cs="Times New Roman"/>
          <w:sz w:val="28"/>
          <w:szCs w:val="28"/>
          <w:lang w:val="uk-UA"/>
        </w:rPr>
        <w:t xml:space="preserve">• акцентування уваги на значенні утворення спеціалізованого центрального органу виконавчої влади з питань забезпечення рівних прав та можливостей жінок і чоловіків й окреслення його компетенції; </w:t>
      </w:r>
    </w:p>
    <w:p w:rsidR="00A30050" w:rsidRPr="00A30050" w:rsidRDefault="00A30050" w:rsidP="00A30050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0050">
        <w:rPr>
          <w:rFonts w:ascii="Times New Roman" w:hAnsi="Times New Roman" w:cs="Times New Roman"/>
          <w:sz w:val="28"/>
          <w:szCs w:val="28"/>
          <w:lang w:val="uk-UA"/>
        </w:rPr>
        <w:t xml:space="preserve">• відповідальність за порушення законодавства України про забезпечення рівних прав і можливостей жінок і чоловіків; </w:t>
      </w:r>
    </w:p>
    <w:p w:rsidR="00A30050" w:rsidRPr="00A30050" w:rsidRDefault="00A30050" w:rsidP="00A30050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005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• постановка питання про введення спеціальних тимчасових заходів з метою створення рівних можливостей для статей і просування ґендерної рівності у специфічних сферах соціального життя, де виявляється дисбаланс щодо представленості жінок і чоловіків або нерівний статус осіб однієї із статей. </w:t>
      </w:r>
    </w:p>
    <w:p w:rsidR="00A30050" w:rsidRPr="00A30050" w:rsidRDefault="00A30050" w:rsidP="00A30050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0050">
        <w:rPr>
          <w:rFonts w:ascii="Times New Roman" w:hAnsi="Times New Roman" w:cs="Times New Roman"/>
          <w:sz w:val="28"/>
          <w:szCs w:val="28"/>
          <w:lang w:val="uk-UA"/>
        </w:rPr>
        <w:t xml:space="preserve">Закон відіграє важливу роль у реконструюванні способу життя українського суспільства і державного будівництва, діяльності державних і громадських інститутів.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спрямований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моделювання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рівних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прав і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чоловіків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жінок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історичних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потреб і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Ґендерна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політика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постає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важливим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напрямом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демократичного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засвідчено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низкою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правових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. Варто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зазначити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останнім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часом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досягла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помітного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прогресу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вивченні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осмисленні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ґендерної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проблематики. </w:t>
      </w:r>
    </w:p>
    <w:p w:rsidR="00A30050" w:rsidRPr="00A30050" w:rsidRDefault="00A30050" w:rsidP="00A30050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Відбулися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істотні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законодавчій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: створено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правові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механізми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прийнято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низку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важливих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спрямованих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ґендерної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рівності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стала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однією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з перших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, яка внесла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окрему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статтю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до Основного закону,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задекларувавши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права і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жінок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чоловіків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Стаття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Конституції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закріплює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рівність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чоловіків</w:t>
      </w:r>
      <w:proofErr w:type="spellEnd"/>
      <w:r w:rsidRPr="00A300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0050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жінок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сферах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ґендерної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рівності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торкаються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21, 24, 51.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Частину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третю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24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Конституції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присвячено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подоланню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дискримінації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жінок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. Вона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наголошує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на тому,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рівність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жінок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чоловіків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забезпечується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наданням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жінкам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рівних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чоловіками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громадсько-політичній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культурній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здобутті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професійній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підготовці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винагороді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спеціальними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заходами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жінок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встановленням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пенсійних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пільг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створенням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умов,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дають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жінкам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поєднувати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працю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з материнством;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правовим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захистом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матеріальною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і моральною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підтримкою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материнства і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дитинства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включаючи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оплачуваних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відпусток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пільг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вагітним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жінкам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і матерям</w:t>
      </w:r>
    </w:p>
    <w:p w:rsidR="00A30050" w:rsidRPr="00A30050" w:rsidRDefault="00A30050" w:rsidP="00A30050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0050">
        <w:rPr>
          <w:rFonts w:ascii="Times New Roman" w:hAnsi="Times New Roman" w:cs="Times New Roman"/>
          <w:sz w:val="28"/>
          <w:szCs w:val="28"/>
          <w:lang w:val="uk-UA"/>
        </w:rPr>
        <w:t xml:space="preserve">Україна ратифікувала Конвенцію про ліквідацію всіх форм дискримінації щодо жінок у 1978 році, що є міжнародно-правовим підґрунтям забезпечення рівності жінок і чоловіків. Базовими документами формування політики з питань жінок в Україні стали: Декларація про загальні засади державної політики України стосовно сім’ї та жінок і Концепція державної сімейної політики. Верховна Рада ухвалила низку законів, що мають регулювати суспільні відносини і забезпечити подолання дискримінації за ознакою статі шляхом урахування ґендерних інтересів різних соціальних категорій і ґендерних норм міжнародного права. Це, зокрема, Закон України </w:t>
      </w:r>
      <w:r w:rsidRPr="00A3005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«Про забезпечення рівних прав і можливостей жінок та чоловіків» (2005 р.), Сімейний кодекс України, Кримінальний кодекс України і Кодекс законів про працю України, закони «Про попередження насильства в сім’ї» (2001 р.), «Про обов’язкове державне соціальне страхування на випадок безробіття» (2000 р.), «Про зайнятість населення» (2000 р.), «Про державну допомогу сім’ям з дітьми» (2001 р.), «Про загальнообов’язкове державне соціальне страхування у зв’язку з тимчасовою втратою працездатності й витратами, зумовленими народженням і похованням» (2001 р.), Указ Президента України «Про вдосконалення роботи центральних і місцевих органів виконавчої влади щодо забезпечення рівних прав і можливостей жінок і чоловіків» (2005 р.) та інші. </w:t>
      </w:r>
      <w:r w:rsidRPr="00A30050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квітні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2008 року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Верховна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Рада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ухвалила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Закон «Про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засади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ґендерного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викладені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Конституції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. Там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зазначено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громадяни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незалежно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статі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конституційні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права і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свободи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; вони є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рівними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перед законом.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забезпечується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жінкам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рівних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прав і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самореалізації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сферах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сім’я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дитинство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, материнство і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батьківство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охороняються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державою (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стаття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51). Але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конституційні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реалізовані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подальшого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усій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і практичного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втілення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інституційних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механізмів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законодавчих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норм і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, уряд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переконаний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у тому,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ґендерна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рівність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є основою демократичного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передумовою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стабільного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використовує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найкращий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міжнародний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внутрішніх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підписала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міжнародні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передбачають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ґендерний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підхід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чим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визнала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ґендерний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підхід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найефективнішим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формулювання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національних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країна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взяла на себе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зобов’язання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гарантувати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рівність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справедливість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країні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регіоні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ґендерними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ідеями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рівності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. 8 вересня 2005 р.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Верховна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Рада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ухвалила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Закон № 2866-IV «Про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рівних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прав та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жінок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чоловіків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підписано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Указ Президента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№ 1135/2005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26 липня 2005 р. «Про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центральних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виконавчої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рівних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прав та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жінок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чоловіків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30050" w:rsidRPr="00A30050" w:rsidRDefault="00A30050" w:rsidP="00A30050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0050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A30050">
        <w:rPr>
          <w:rFonts w:ascii="Times New Roman" w:hAnsi="Times New Roman" w:cs="Times New Roman"/>
          <w:b/>
          <w:sz w:val="28"/>
          <w:szCs w:val="28"/>
          <w:lang w:val="uk-UA"/>
        </w:rPr>
        <w:t>Підзаконні нормативні  акти з  гендерної рівності</w:t>
      </w:r>
    </w:p>
    <w:p w:rsidR="00A30050" w:rsidRPr="00A30050" w:rsidRDefault="00A30050" w:rsidP="00A30050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0050">
        <w:rPr>
          <w:rFonts w:ascii="Times New Roman" w:hAnsi="Times New Roman" w:cs="Times New Roman"/>
          <w:sz w:val="28"/>
          <w:szCs w:val="28"/>
        </w:rPr>
        <w:t xml:space="preserve">27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2006 р.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Кабінет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затвердив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Державну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утвердження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ґендерної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рівності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українському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суспільстві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до 2010 року. 5 вересня 2007 року при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Кабінеті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створено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Міжвідомчу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раду з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сімейної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ґендерної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демографії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r w:rsidRPr="00A30050">
        <w:rPr>
          <w:rFonts w:ascii="Times New Roman" w:hAnsi="Times New Roman" w:cs="Times New Roman"/>
          <w:sz w:val="28"/>
          <w:szCs w:val="28"/>
        </w:rPr>
        <w:lastRenderedPageBreak/>
        <w:t xml:space="preserve">та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протидії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торгівлі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людьми.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2007 року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видано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накази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ґендерних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ключових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міністерствах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відомствах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Міністерство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у справах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та спорту,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Міністерство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Міністерство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внутрішніх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справ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Міністерство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та науки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Міністерство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юстиції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Міністерство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Міністерство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Міністерство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і туризму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комітет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телебачення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радіомовлення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департамент статистики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A30050">
        <w:rPr>
          <w:rFonts w:ascii="Times New Roman" w:hAnsi="Times New Roman" w:cs="Times New Roman"/>
          <w:sz w:val="28"/>
          <w:szCs w:val="28"/>
        </w:rPr>
        <w:t>До складу</w:t>
      </w:r>
      <w:proofErr w:type="gram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входити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спеціаліст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ґендерних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, консультант/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радник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ґендерних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представники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підрозділів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і члени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громадської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ради.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адаптувати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стандартну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методологію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конкретних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сферах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кожного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ключового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участю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ґендерних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експертів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підготувати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проект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ґендерної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відповідної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діяльност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r w:rsidRPr="00A30050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січні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2008 р. Уряд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прийняв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Український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прорив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», до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включено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ґендерної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30050">
        <w:rPr>
          <w:rFonts w:ascii="Times New Roman" w:hAnsi="Times New Roman" w:cs="Times New Roman"/>
          <w:sz w:val="28"/>
          <w:szCs w:val="28"/>
        </w:rPr>
        <w:t>рівності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r w:rsidRPr="00A300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Міністерстві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оборони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такої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створено не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, робота над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ґендерною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проблематикою там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теж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розпочалась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Незважаючи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на те,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рівних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і прав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жінок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надавала членам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ґендерних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суттєву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методологічну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експертну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групам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досі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бракує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інституційних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механізмів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ґендерних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підходів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відповідної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рівних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планів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подальшої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даному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зазначити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складу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міністерських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відбору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тренінгів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семінарів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залишається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незрозумілим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абсолютно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підходи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ґендерних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A30050">
        <w:rPr>
          <w:rFonts w:ascii="Times New Roman" w:hAnsi="Times New Roman" w:cs="Times New Roman"/>
          <w:sz w:val="28"/>
          <w:szCs w:val="28"/>
        </w:rPr>
        <w:t>до складу</w:t>
      </w:r>
      <w:proofErr w:type="gram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деяких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них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входять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начальники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управлінь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; до складу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обираються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переважно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наукові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консультанти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експерти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не є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працівниками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формують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участю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рядових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Водночас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учасниками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кожного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тренінгу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семінару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часто є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люди,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не є членами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робочої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У таких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вони часто не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чіткого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уявлення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про свою роль у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подальшому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ускладнює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хід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тренінгу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тому,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тема є для них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незнайомою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A30050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A30050">
        <w:rPr>
          <w:rFonts w:ascii="Times New Roman" w:hAnsi="Times New Roman" w:cs="Times New Roman"/>
          <w:sz w:val="28"/>
          <w:szCs w:val="28"/>
        </w:rPr>
        <w:t xml:space="preserve"> й тому</w:t>
      </w:r>
    </w:p>
    <w:bookmarkEnd w:id="0"/>
    <w:p w:rsidR="00A30050" w:rsidRPr="00A30050" w:rsidRDefault="00A30050" w:rsidP="00A30050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A30050" w:rsidRPr="00A30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050"/>
    <w:rsid w:val="00301096"/>
    <w:rsid w:val="00A3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21087"/>
  <w15:chartTrackingRefBased/>
  <w15:docId w15:val="{4DBBC7AA-12F8-4253-9394-437DE966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1389</Words>
  <Characters>7919</Characters>
  <Application>Microsoft Office Word</Application>
  <DocSecurity>0</DocSecurity>
  <Lines>65</Lines>
  <Paragraphs>18</Paragraphs>
  <ScaleCrop>false</ScaleCrop>
  <Company/>
  <LinksUpToDate>false</LinksUpToDate>
  <CharactersWithSpaces>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</cp:revision>
  <dcterms:created xsi:type="dcterms:W3CDTF">2023-09-09T20:01:00Z</dcterms:created>
  <dcterms:modified xsi:type="dcterms:W3CDTF">2023-09-09T20:07:00Z</dcterms:modified>
</cp:coreProperties>
</file>