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E25E1" w14:textId="4F1BFCCA" w:rsidR="001E16F9" w:rsidRPr="00595F0E" w:rsidRDefault="00595F0E" w:rsidP="00595F0E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F0E">
        <w:rPr>
          <w:rFonts w:ascii="Times New Roman" w:hAnsi="Times New Roman" w:cs="Times New Roman"/>
          <w:b/>
          <w:bCs/>
          <w:sz w:val="28"/>
          <w:szCs w:val="28"/>
        </w:rPr>
        <w:t>ПІДГОТОВКА ПАЦІЄНТА З АМПУТАЦІЄЮ НИЖНЬОЇ КІНЦІВКИ ДО ПРОТЕЗУВАННЯ</w:t>
      </w:r>
    </w:p>
    <w:p w14:paraId="6442E6A7" w14:textId="77777777" w:rsidR="00595F0E" w:rsidRDefault="00595F0E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B2EC501" w14:textId="65DB3FF4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Втрата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нижньої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кінцівки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серйозні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мобільності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повсякденні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побутові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 .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негативно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участь та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інтеграцію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 .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Кінцевою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кінцівки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успішне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пересування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протезу.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Реабілітація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протезуванні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– складне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яке в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ідеалі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міждисциплінарної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реабілітаційної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найчастіше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процесом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займаються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терапевти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>. </w:t>
      </w:r>
      <w:r w:rsidR="00595F0E" w:rsidRPr="00595F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48A68E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i/>
          <w:iCs/>
          <w:sz w:val="28"/>
          <w:szCs w:val="28"/>
        </w:rPr>
        <w:t>Огляд</w:t>
      </w:r>
      <w:proofErr w:type="spellEnd"/>
      <w:r w:rsidRPr="00595F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i/>
          <w:iCs/>
          <w:sz w:val="28"/>
          <w:szCs w:val="28"/>
        </w:rPr>
        <w:t>процесу</w:t>
      </w:r>
      <w:proofErr w:type="spellEnd"/>
      <w:r w:rsidRPr="00595F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i/>
          <w:iCs/>
          <w:sz w:val="28"/>
          <w:szCs w:val="28"/>
        </w:rPr>
        <w:t>реабілітації</w:t>
      </w:r>
      <w:proofErr w:type="spellEnd"/>
    </w:p>
    <w:p w14:paraId="1A2A84B5" w14:textId="4E5F7D32" w:rsidR="001E16F9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особи з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ампутованою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нижньою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кінцівкою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дев’яти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етапів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 як показано в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таблиці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нижче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виданням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Esquenazi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Meiercited</w:t>
      </w:r>
      <w:proofErr w:type="spellEnd"/>
      <w:r w:rsidR="00595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Esquenazi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>):</w:t>
      </w:r>
      <w:r w:rsidR="00595F0E" w:rsidRPr="00595F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52D77B" w14:textId="77777777" w:rsidR="00595F0E" w:rsidRPr="00595F0E" w:rsidRDefault="00595F0E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5"/>
        <w:gridCol w:w="6234"/>
      </w:tblGrid>
      <w:tr w:rsidR="001E16F9" w:rsidRPr="00595F0E" w14:paraId="1B8E8A64" w14:textId="77777777" w:rsidTr="00595F0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C31D58A" w14:textId="77777777" w:rsidR="001E16F9" w:rsidRPr="00595F0E" w:rsidRDefault="001E16F9" w:rsidP="00595F0E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333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ED9FB67" w14:textId="77777777" w:rsidR="001E16F9" w:rsidRPr="00595F0E" w:rsidRDefault="001E16F9" w:rsidP="00595F0E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Критерій</w:t>
            </w:r>
            <w:proofErr w:type="spellEnd"/>
          </w:p>
        </w:tc>
      </w:tr>
      <w:tr w:rsidR="001E16F9" w:rsidRPr="00595F0E" w14:paraId="0272F5F6" w14:textId="77777777" w:rsidTr="00595F0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65FEE5A" w14:textId="77777777" w:rsidR="001E16F9" w:rsidRPr="00595F0E" w:rsidRDefault="001E16F9" w:rsidP="00595F0E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Передопераційний</w:t>
            </w:r>
            <w:proofErr w:type="spellEnd"/>
          </w:p>
        </w:tc>
        <w:tc>
          <w:tcPr>
            <w:tcW w:w="333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947CC3C" w14:textId="77777777" w:rsidR="001E16F9" w:rsidRPr="00595F0E" w:rsidRDefault="001E16F9" w:rsidP="00595F0E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Оцінювання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фізичного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стану,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пацієнта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обговорення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хірургічного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рівня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, план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післяопераційного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протезування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E16F9" w:rsidRPr="00595F0E" w14:paraId="0A5A2313" w14:textId="77777777" w:rsidTr="00595F0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52A1E2" w14:textId="77777777" w:rsidR="001E16F9" w:rsidRPr="00595F0E" w:rsidRDefault="001E16F9" w:rsidP="00595F0E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Операція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ампутації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реконструкція</w:t>
            </w:r>
            <w:proofErr w:type="spellEnd"/>
          </w:p>
        </w:tc>
        <w:tc>
          <w:tcPr>
            <w:tcW w:w="333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0190177" w14:textId="77777777" w:rsidR="001E16F9" w:rsidRPr="00595F0E" w:rsidRDefault="001E16F9" w:rsidP="00595F0E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Довжина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міопластичне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закриття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покриття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м’якими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тканинами, нерв,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обробка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жорстка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пов’язка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E16F9" w:rsidRPr="00595F0E" w14:paraId="7F4489FB" w14:textId="77777777" w:rsidTr="00595F0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F0058A8" w14:textId="77777777" w:rsidR="001E16F9" w:rsidRPr="00595F0E" w:rsidRDefault="001E16F9" w:rsidP="00595F0E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Гострий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післяопераційний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період</w:t>
            </w:r>
            <w:proofErr w:type="spellEnd"/>
          </w:p>
        </w:tc>
        <w:tc>
          <w:tcPr>
            <w:tcW w:w="333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B560D2F" w14:textId="77777777" w:rsidR="001E16F9" w:rsidRPr="00595F0E" w:rsidRDefault="001E16F9" w:rsidP="00595F0E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Загоєння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ран,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болем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, рухи проксимальною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частиною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тіла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емоційна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підтримка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E16F9" w:rsidRPr="00595F0E" w14:paraId="2075CB3D" w14:textId="77777777" w:rsidTr="00595F0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36E4E16" w14:textId="77777777" w:rsidR="001E16F9" w:rsidRPr="00595F0E" w:rsidRDefault="001E16F9" w:rsidP="00595F0E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Перед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протезуванням</w:t>
            </w:r>
            <w:proofErr w:type="spellEnd"/>
          </w:p>
        </w:tc>
        <w:tc>
          <w:tcPr>
            <w:tcW w:w="333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9B644AF" w14:textId="77777777" w:rsidR="001E16F9" w:rsidRPr="00595F0E" w:rsidRDefault="001E16F9" w:rsidP="00595F0E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Формування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напруження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збільшення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м’язової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сили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відновлення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локус-контролю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пацієнта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E16F9" w:rsidRPr="00595F0E" w14:paraId="78D6EB02" w14:textId="77777777" w:rsidTr="00595F0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2029895" w14:textId="77777777" w:rsidR="001E16F9" w:rsidRPr="00595F0E" w:rsidRDefault="001E16F9" w:rsidP="00595F0E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протеза</w:t>
            </w:r>
          </w:p>
        </w:tc>
        <w:tc>
          <w:tcPr>
            <w:tcW w:w="333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8A47987" w14:textId="77777777" w:rsidR="001E16F9" w:rsidRPr="00595F0E" w:rsidRDefault="001E16F9" w:rsidP="00595F0E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Прийняття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командою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виготовлення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протезів</w:t>
            </w:r>
            <w:proofErr w:type="spellEnd"/>
          </w:p>
        </w:tc>
      </w:tr>
      <w:tr w:rsidR="001E16F9" w:rsidRPr="00595F0E" w14:paraId="2093A938" w14:textId="77777777" w:rsidTr="00595F0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802AA0E" w14:textId="77777777" w:rsidR="001E16F9" w:rsidRPr="00595F0E" w:rsidRDefault="001E16F9" w:rsidP="00595F0E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Тренування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з протезом</w:t>
            </w:r>
          </w:p>
        </w:tc>
        <w:tc>
          <w:tcPr>
            <w:tcW w:w="333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942BE84" w14:textId="77777777" w:rsidR="001E16F9" w:rsidRPr="00595F0E" w:rsidRDefault="001E16F9" w:rsidP="00595F0E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Збільшення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терміну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носіння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функціонального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протезів</w:t>
            </w:r>
            <w:proofErr w:type="spellEnd"/>
          </w:p>
        </w:tc>
      </w:tr>
      <w:tr w:rsidR="001E16F9" w:rsidRPr="00595F0E" w14:paraId="63210E6A" w14:textId="77777777" w:rsidTr="00595F0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BCF85F6" w14:textId="77777777" w:rsidR="001E16F9" w:rsidRPr="00595F0E" w:rsidRDefault="001E16F9" w:rsidP="00595F0E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Інтеграція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у громаду</w:t>
            </w:r>
          </w:p>
        </w:tc>
        <w:tc>
          <w:tcPr>
            <w:tcW w:w="333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353062F" w14:textId="77777777" w:rsidR="001E16F9" w:rsidRPr="00595F0E" w:rsidRDefault="001E16F9" w:rsidP="00595F0E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Відновлення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участі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сімейній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громадській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Емоційна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рівновага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стратегії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ефективного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подолання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труднощів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. Заходи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організації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дозвілля</w:t>
            </w:r>
            <w:proofErr w:type="spellEnd"/>
          </w:p>
        </w:tc>
      </w:tr>
      <w:tr w:rsidR="001E16F9" w:rsidRPr="00595F0E" w14:paraId="65949E01" w14:textId="77777777" w:rsidTr="00595F0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632F471" w14:textId="77777777" w:rsidR="001E16F9" w:rsidRPr="00595F0E" w:rsidRDefault="001E16F9" w:rsidP="00595F0E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Професійна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реабілітація</w:t>
            </w:r>
            <w:proofErr w:type="spellEnd"/>
          </w:p>
        </w:tc>
        <w:tc>
          <w:tcPr>
            <w:tcW w:w="333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BD85729" w14:textId="77777777" w:rsidR="001E16F9" w:rsidRPr="00595F0E" w:rsidRDefault="001E16F9" w:rsidP="00595F0E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Оцінити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спланувати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професійну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майбутнє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Може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знадобитися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додаткова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освіта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зміна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професії</w:t>
            </w:r>
            <w:proofErr w:type="spellEnd"/>
          </w:p>
        </w:tc>
      </w:tr>
      <w:tr w:rsidR="001E16F9" w:rsidRPr="00595F0E" w14:paraId="2C20F7D5" w14:textId="77777777" w:rsidTr="00595F0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17E6B9A" w14:textId="77777777" w:rsidR="001E16F9" w:rsidRPr="00595F0E" w:rsidRDefault="001E16F9" w:rsidP="00595F0E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Подальше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спостереження</w:t>
            </w:r>
            <w:proofErr w:type="spellEnd"/>
          </w:p>
        </w:tc>
        <w:tc>
          <w:tcPr>
            <w:tcW w:w="333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9F2A140" w14:textId="77777777" w:rsidR="001E16F9" w:rsidRPr="00595F0E" w:rsidRDefault="001E16F9" w:rsidP="00595F0E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Протезування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усього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життя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функціональна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медична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оцінка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емоційна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підтримка</w:t>
            </w:r>
            <w:proofErr w:type="spellEnd"/>
          </w:p>
        </w:tc>
      </w:tr>
    </w:tbl>
    <w:p w14:paraId="07D06938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Передпротезна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</w:p>
    <w:p w14:paraId="61613DB8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ПЕРЕДПРОТЕЗНОЇ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пацієнта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ампутованою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нижньою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кінцівкою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шість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компонентів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>:</w:t>
      </w:r>
    </w:p>
    <w:p w14:paraId="6A899468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терапевтів</w:t>
      </w:r>
      <w:proofErr w:type="spellEnd"/>
    </w:p>
    <w:p w14:paraId="3B0F4E72" w14:textId="77777777" w:rsidR="001E16F9" w:rsidRPr="00595F0E" w:rsidRDefault="00445841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hyperlink r:id="rId5" w:tooltip="Assessment of the amputee" w:history="1">
        <w:proofErr w:type="spellStart"/>
        <w:r w:rsidR="001E16F9" w:rsidRPr="00595F0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Оцінка</w:t>
        </w:r>
        <w:proofErr w:type="spellEnd"/>
        <w:r w:rsidR="001E16F9" w:rsidRPr="00595F0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стану </w:t>
        </w:r>
        <w:proofErr w:type="spellStart"/>
        <w:r w:rsidR="001E16F9" w:rsidRPr="00595F0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пацієнта</w:t>
        </w:r>
        <w:proofErr w:type="spellEnd"/>
        <w:r w:rsidR="001E16F9" w:rsidRPr="00595F0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з </w:t>
        </w:r>
        <w:proofErr w:type="spellStart"/>
        <w:r w:rsidR="001E16F9" w:rsidRPr="00595F0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ампутацією</w:t>
        </w:r>
        <w:proofErr w:type="spellEnd"/>
      </w:hyperlink>
      <w:r w:rsidR="001E16F9" w:rsidRPr="00595F0E">
        <w:rPr>
          <w:rFonts w:ascii="Times New Roman" w:hAnsi="Times New Roman" w:cs="Times New Roman"/>
          <w:sz w:val="28"/>
          <w:szCs w:val="28"/>
        </w:rPr>
        <w:t xml:space="preserve"> (про </w:t>
      </w:r>
      <w:proofErr w:type="spellStart"/>
      <w:r w:rsidR="001E16F9" w:rsidRPr="00595F0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1E16F9"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6F9" w:rsidRPr="00595F0E">
        <w:rPr>
          <w:rFonts w:ascii="Times New Roman" w:hAnsi="Times New Roman" w:cs="Times New Roman"/>
          <w:sz w:val="28"/>
          <w:szCs w:val="28"/>
        </w:rPr>
        <w:t>докладніше</w:t>
      </w:r>
      <w:proofErr w:type="spellEnd"/>
      <w:r w:rsidR="001E16F9" w:rsidRPr="00595F0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E16F9" w:rsidRPr="00595F0E">
        <w:rPr>
          <w:rFonts w:ascii="Times New Roman" w:hAnsi="Times New Roman" w:cs="Times New Roman"/>
          <w:sz w:val="28"/>
          <w:szCs w:val="28"/>
        </w:rPr>
        <w:t>іншій</w:t>
      </w:r>
      <w:proofErr w:type="spellEnd"/>
      <w:r w:rsidR="001E16F9"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6F9" w:rsidRPr="00595F0E">
        <w:rPr>
          <w:rFonts w:ascii="Times New Roman" w:hAnsi="Times New Roman" w:cs="Times New Roman"/>
          <w:sz w:val="28"/>
          <w:szCs w:val="28"/>
        </w:rPr>
        <w:t>сторінці</w:t>
      </w:r>
      <w:proofErr w:type="spellEnd"/>
      <w:r w:rsidR="001E16F9" w:rsidRPr="00595F0E">
        <w:rPr>
          <w:rFonts w:ascii="Times New Roman" w:hAnsi="Times New Roman" w:cs="Times New Roman"/>
          <w:sz w:val="28"/>
          <w:szCs w:val="28"/>
        </w:rPr>
        <w:t>)</w:t>
      </w:r>
    </w:p>
    <w:p w14:paraId="55413E22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пацієнта</w:t>
      </w:r>
      <w:proofErr w:type="spellEnd"/>
    </w:p>
    <w:p w14:paraId="42F98C92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F0E">
        <w:rPr>
          <w:rFonts w:ascii="Times New Roman" w:hAnsi="Times New Roman" w:cs="Times New Roman"/>
          <w:sz w:val="28"/>
          <w:szCs w:val="28"/>
        </w:rPr>
        <w:t xml:space="preserve">Догляд за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залишковою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кінцівкою</w:t>
      </w:r>
      <w:proofErr w:type="spellEnd"/>
    </w:p>
    <w:p w14:paraId="7A929E4B" w14:textId="18385C98" w:rsidR="001E16F9" w:rsidRPr="00595F0E" w:rsidRDefault="00595F0E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Терапевтичні вправи</w:t>
      </w:r>
    </w:p>
    <w:p w14:paraId="65CF9A9B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контролю</w:t>
      </w:r>
    </w:p>
    <w:p w14:paraId="686B13C8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Направлення</w:t>
      </w:r>
      <w:proofErr w:type="spellEnd"/>
    </w:p>
    <w:p w14:paraId="6EE2D9F0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терапевтів</w:t>
      </w:r>
      <w:proofErr w:type="spellEnd"/>
    </w:p>
    <w:p w14:paraId="0FCFB6D0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F0E">
        <w:rPr>
          <w:rFonts w:ascii="Times New Roman" w:hAnsi="Times New Roman" w:cs="Times New Roman"/>
          <w:sz w:val="28"/>
          <w:szCs w:val="28"/>
        </w:rPr>
        <w:t xml:space="preserve">Коли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починаєте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пацієнтом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ампутованою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кінцівкою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фізично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та морально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підготуватися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з ним.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розглянути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включають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>:</w:t>
      </w:r>
    </w:p>
    <w:p w14:paraId="2EA50F52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пацієнт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молодий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літній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>)</w:t>
      </w:r>
    </w:p>
    <w:p w14:paraId="0D499AC1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стало причиною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ампутації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травми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/ з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судинним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захворюванням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>)</w:t>
      </w:r>
    </w:p>
    <w:p w14:paraId="5BC2890C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F0E">
        <w:rPr>
          <w:rFonts w:ascii="Times New Roman" w:hAnsi="Times New Roman" w:cs="Times New Roman"/>
          <w:sz w:val="28"/>
          <w:szCs w:val="28"/>
        </w:rPr>
        <w:t xml:space="preserve">Де (на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проведено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ампутацію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на результат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>)</w:t>
      </w:r>
    </w:p>
    <w:p w14:paraId="51106E45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F0E">
        <w:rPr>
          <w:rFonts w:ascii="Times New Roman" w:hAnsi="Times New Roman" w:cs="Times New Roman"/>
          <w:sz w:val="28"/>
          <w:szCs w:val="28"/>
        </w:rPr>
        <w:t xml:space="preserve">Яку мету ставить перед собою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пацієнт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усвідомлює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пацієнт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існуючі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наскільки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реалістично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налаштований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>?)</w:t>
      </w:r>
    </w:p>
    <w:p w14:paraId="7E632FE5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варіанти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протезування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доступні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конкретного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пацієнта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самостійне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>)</w:t>
      </w:r>
    </w:p>
    <w:p w14:paraId="3E31546F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Усвідомлення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етапів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переживання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горя</w:t>
      </w:r>
    </w:p>
    <w:p w14:paraId="05810410" w14:textId="12105E65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lastRenderedPageBreak/>
        <w:t>Молодий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пацієнт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переніс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ампутацію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травми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швидше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за все,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перебуватиме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певній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стадії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переживання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горя та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відчуватиме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гострий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післяопераційний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біль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Літній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пацієнт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переніс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втрату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кінцівки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судинного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нейропатичного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захворювання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готовий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кінцівки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психологічної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точки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>. У будь-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ваш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пацієнт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психологічно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фізично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пригнічений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на початку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пацієнта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очікувань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важливе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ранньому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>. </w:t>
      </w:r>
      <w:r w:rsidR="00595F0E" w:rsidRPr="00595F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859634" w14:textId="77777777" w:rsidR="001E16F9" w:rsidRPr="00595F0E" w:rsidRDefault="00445841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hyperlink r:id="rId6" w:tooltip="Emotional and psychological reactions to amputation" w:history="1">
        <w:proofErr w:type="spellStart"/>
        <w:r w:rsidR="001E16F9" w:rsidRPr="00595F0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Емоційні</w:t>
        </w:r>
        <w:proofErr w:type="spellEnd"/>
        <w:r w:rsidR="001E16F9" w:rsidRPr="00595F0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та </w:t>
        </w:r>
        <w:proofErr w:type="spellStart"/>
        <w:r w:rsidR="001E16F9" w:rsidRPr="00595F0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психологічні</w:t>
        </w:r>
        <w:proofErr w:type="spellEnd"/>
        <w:r w:rsidR="001E16F9" w:rsidRPr="00595F0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E16F9" w:rsidRPr="00595F0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реакції</w:t>
        </w:r>
        <w:proofErr w:type="spellEnd"/>
        <w:r w:rsidR="001E16F9" w:rsidRPr="00595F0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на </w:t>
        </w:r>
        <w:proofErr w:type="spellStart"/>
        <w:r w:rsidR="001E16F9" w:rsidRPr="00595F0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ампутацію</w:t>
        </w:r>
        <w:proofErr w:type="spellEnd"/>
      </w:hyperlink>
    </w:p>
    <w:p w14:paraId="3CE0322A" w14:textId="77777777" w:rsidR="001E16F9" w:rsidRPr="00595F0E" w:rsidRDefault="00445841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proofErr w:type="spellStart"/>
        <w:r w:rsidR="001E16F9" w:rsidRPr="00595F0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Реакція</w:t>
        </w:r>
        <w:proofErr w:type="spellEnd"/>
        <w:r w:rsidR="001E16F9" w:rsidRPr="00595F0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на </w:t>
        </w:r>
        <w:proofErr w:type="spellStart"/>
        <w:r w:rsidR="001E16F9" w:rsidRPr="00595F0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ампутацію</w:t>
        </w:r>
        <w:proofErr w:type="spellEnd"/>
        <w:r w:rsidR="001E16F9" w:rsidRPr="00595F0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: </w:t>
        </w:r>
        <w:proofErr w:type="spellStart"/>
        <w:r w:rsidR="001E16F9" w:rsidRPr="00595F0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усвідомлення</w:t>
        </w:r>
        <w:proofErr w:type="spellEnd"/>
        <w:r w:rsidR="001E16F9" w:rsidRPr="00595F0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та </w:t>
        </w:r>
        <w:proofErr w:type="spellStart"/>
        <w:r w:rsidR="001E16F9" w:rsidRPr="00595F0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лікування</w:t>
        </w:r>
        <w:proofErr w:type="spellEnd"/>
      </w:hyperlink>
    </w:p>
    <w:p w14:paraId="7FF156F6" w14:textId="77777777" w:rsidR="001E16F9" w:rsidRPr="00595F0E" w:rsidRDefault="00445841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E16F9" w:rsidRPr="00595F0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Перегляд фото-, </w:t>
        </w:r>
        <w:proofErr w:type="spellStart"/>
        <w:r w:rsidR="001E16F9" w:rsidRPr="00595F0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відеоматеріалів</w:t>
        </w:r>
        <w:proofErr w:type="spellEnd"/>
        <w:r w:rsidR="001E16F9" w:rsidRPr="00595F0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про </w:t>
        </w:r>
        <w:proofErr w:type="spellStart"/>
        <w:r w:rsidR="001E16F9" w:rsidRPr="00595F0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переживання</w:t>
        </w:r>
        <w:proofErr w:type="spellEnd"/>
        <w:r w:rsidR="001E16F9" w:rsidRPr="00595F0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людей з </w:t>
        </w:r>
        <w:proofErr w:type="spellStart"/>
        <w:r w:rsidR="001E16F9" w:rsidRPr="00595F0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ампутованими</w:t>
        </w:r>
        <w:proofErr w:type="spellEnd"/>
        <w:r w:rsidR="001E16F9" w:rsidRPr="00595F0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E16F9" w:rsidRPr="00595F0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кінцівками</w:t>
        </w:r>
        <w:proofErr w:type="spellEnd"/>
      </w:hyperlink>
    </w:p>
    <w:p w14:paraId="68A2162C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</w:p>
    <w:p w14:paraId="2D398B19" w14:textId="1B2B09E5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F0E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вашого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пацієнта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використанні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протеза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параметри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намагайтеся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давати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марних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надій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>.</w:t>
      </w:r>
    </w:p>
    <w:p w14:paraId="139A1441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Обізнаність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доступних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асистивних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</w:p>
    <w:p w14:paraId="1907B0BF" w14:textId="06D35AA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Пацієнт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розраховуватиме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на те,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надасте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своєчасну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протезування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Переконайтеся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у вас є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базові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протезування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яка є доступною і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підійти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вашого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пацієнта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>.</w:t>
      </w:r>
    </w:p>
    <w:p w14:paraId="57144C87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пацієнта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ампутацією</w:t>
      </w:r>
      <w:proofErr w:type="spellEnd"/>
    </w:p>
    <w:p w14:paraId="40C8B946" w14:textId="754979A1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F0E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протезуванні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орієнтований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пацієнта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належним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чином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оцінити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стан. </w:t>
      </w:r>
    </w:p>
    <w:p w14:paraId="6F789149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пацієнта</w:t>
      </w:r>
      <w:proofErr w:type="spellEnd"/>
    </w:p>
    <w:p w14:paraId="7F6A9C12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</w:p>
    <w:p w14:paraId="37F256CD" w14:textId="2D466490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пацієнта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починатися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та постановки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орієнтованих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пацієнта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Пацієнт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повинен бути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поінформований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можливі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варіанти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допоміжних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протезних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виробів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>. </w:t>
      </w:r>
      <w:r w:rsidR="00595F0E" w:rsidRPr="00595F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F8BE7A" w14:textId="77777777" w:rsidR="001E16F9" w:rsidRPr="00595F0E" w:rsidRDefault="00445841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hyperlink r:id="rId9" w:tooltip="Pain Management of the Amputee" w:history="1">
        <w:proofErr w:type="spellStart"/>
        <w:r w:rsidR="001E16F9" w:rsidRPr="00595F0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Управління</w:t>
        </w:r>
        <w:proofErr w:type="spellEnd"/>
        <w:r w:rsidR="001E16F9" w:rsidRPr="00595F0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E16F9" w:rsidRPr="00595F0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болем</w:t>
        </w:r>
        <w:proofErr w:type="spellEnd"/>
      </w:hyperlink>
    </w:p>
    <w:p w14:paraId="6FB03D83" w14:textId="78A79EE9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очікуваннями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пацієнта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гострого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післяопераційного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болю,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потенційно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відчувати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сприятиме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пацієнтом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покращенню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>. </w:t>
      </w:r>
      <w:r w:rsidR="00595F0E" w:rsidRPr="00595F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34B9B5" w14:textId="77777777" w:rsidR="001E16F9" w:rsidRPr="00595F0E" w:rsidRDefault="00445841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hyperlink r:id="rId10" w:tooltip="Complications post amputation" w:history="1">
        <w:proofErr w:type="spellStart"/>
        <w:r w:rsidR="001E16F9" w:rsidRPr="00595F0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Профілактика</w:t>
        </w:r>
        <w:proofErr w:type="spellEnd"/>
        <w:r w:rsidR="001E16F9" w:rsidRPr="00595F0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proofErr w:type="spellStart"/>
        <w:r w:rsidR="001E16F9" w:rsidRPr="00595F0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ускладнень</w:t>
        </w:r>
        <w:proofErr w:type="spellEnd"/>
      </w:hyperlink>
    </w:p>
    <w:p w14:paraId="1CC53CFB" w14:textId="4D7A8CA5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догляду за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кінцівкою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то за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куксою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то за здоровою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кінцівкою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життєво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подальшим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ускладненням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повторної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ампутації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Пацієнтів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навчати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догляду за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діабетичною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стопою та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рекомендувати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щодня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оглядати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хвору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кінцівку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почервоніння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>.</w:t>
      </w:r>
      <w:r w:rsidR="00595F0E" w:rsidRPr="00595F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C1360F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догляд</w:t>
      </w:r>
    </w:p>
    <w:p w14:paraId="7043C539" w14:textId="4DA1A40D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F0E">
        <w:rPr>
          <w:rFonts w:ascii="Times New Roman" w:hAnsi="Times New Roman" w:cs="Times New Roman"/>
          <w:sz w:val="28"/>
          <w:szCs w:val="28"/>
        </w:rPr>
        <w:t xml:space="preserve">Особа, яка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основний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догляд за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пацієнтом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ампутованою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кінцівкою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повинна бути залучена до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ранній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стадії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навчена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всім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реабілітаційним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прийомам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навчають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пацієнта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пацієнтом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режиму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виписки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стаціонару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>.</w:t>
      </w:r>
      <w:r w:rsidR="00595F0E" w:rsidRPr="00595F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F20B7F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F0E">
        <w:rPr>
          <w:rFonts w:ascii="Times New Roman" w:hAnsi="Times New Roman" w:cs="Times New Roman"/>
          <w:sz w:val="28"/>
          <w:szCs w:val="28"/>
        </w:rPr>
        <w:t xml:space="preserve">Догляд за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залишковою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кінцівкою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куксою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>)</w:t>
      </w:r>
    </w:p>
    <w:p w14:paraId="4AB007A3" w14:textId="4D1F76BD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впливати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успіх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протезуванні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усунення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: рана, набряк,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рубець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розрізу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стан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шкіри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довжина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та форма кукси,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больові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контрактура проксимального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суглоба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дистальний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край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кістки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додаткові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надлишкові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тканини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рубці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>.</w:t>
      </w:r>
    </w:p>
    <w:p w14:paraId="5E21E5D5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Десенсибілізація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кукси,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масаж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рубців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і догляд за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шкірою</w:t>
      </w:r>
      <w:proofErr w:type="spellEnd"/>
    </w:p>
    <w:p w14:paraId="557B129D" w14:textId="02275A70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хірургічного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рубця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підготовці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залишкової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кінцівки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протезування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Надчутливий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нерівний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рубець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викликати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сильний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біль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до того,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куксу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стане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неможливим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того як рана на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курсі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достатньо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загоїться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терапевт повинен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почати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режим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десенсибілізації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кукси,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підготувати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куксу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носіння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протезу, і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масаж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рубця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запобігти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склеюванню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рубця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кістковими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виступами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  і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навчити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пацієнта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>.</w:t>
      </w:r>
    </w:p>
    <w:p w14:paraId="031D5C13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кукси (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бандажування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>)</w:t>
      </w:r>
    </w:p>
    <w:p w14:paraId="1E10CCEE" w14:textId="1EF8F3CB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lastRenderedPageBreak/>
        <w:t>Формування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конусної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кукси є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життєво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передпротезної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 .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Залишкова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кінцівка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неправильної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булавовидної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об’єм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дистальної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виміряний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на 5 см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проксимальніше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кінця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кукси,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об’єму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проксимальної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) не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забезпечена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протезом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ускладнити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протезування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бандажування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залишковій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кінцівці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конічної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для правильного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кукси</w:t>
      </w:r>
    </w:p>
    <w:p w14:paraId="0592778B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Бандажування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кукси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гомілки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9"/>
        <w:gridCol w:w="6750"/>
      </w:tblGrid>
      <w:tr w:rsidR="001E16F9" w:rsidRPr="00595F0E" w14:paraId="389316CD" w14:textId="77777777" w:rsidTr="001E16F9">
        <w:trPr>
          <w:jc w:val="center"/>
        </w:trPr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F00C1FF" w14:textId="77777777" w:rsidR="001E16F9" w:rsidRPr="00595F0E" w:rsidRDefault="001E16F9" w:rsidP="00595F0E">
            <w:pPr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B1F3DD0" w14:textId="37EEB573" w:rsidR="001E16F9" w:rsidRPr="00595F0E" w:rsidRDefault="001E16F9" w:rsidP="00595F0E">
            <w:pPr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F0E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73AA626C" wp14:editId="15389D14">
                  <wp:extent cx="3810000" cy="6486525"/>
                  <wp:effectExtent l="0" t="0" r="0" b="9525"/>
                  <wp:docPr id="2" name="Рисунок 2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648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DE7FD3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lastRenderedPageBreak/>
        <w:t>Бандажування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кукси стегна: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9"/>
        <w:gridCol w:w="6750"/>
      </w:tblGrid>
      <w:tr w:rsidR="001E16F9" w:rsidRPr="00595F0E" w14:paraId="08A5604D" w14:textId="77777777" w:rsidTr="001E16F9">
        <w:trPr>
          <w:jc w:val="center"/>
        </w:trPr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BDABB2F" w14:textId="77777777" w:rsidR="001E16F9" w:rsidRPr="00595F0E" w:rsidRDefault="001E16F9" w:rsidP="00595F0E">
            <w:pPr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14BEBE3" w14:textId="365287E4" w:rsidR="001E16F9" w:rsidRPr="00595F0E" w:rsidRDefault="001E16F9" w:rsidP="00595F0E">
            <w:pPr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F0E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6A8ECB62" wp14:editId="1E4ACACB">
                  <wp:extent cx="3810000" cy="6515100"/>
                  <wp:effectExtent l="0" t="0" r="0" b="0"/>
                  <wp:docPr id="1" name="Рисунок 1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651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6C0EC3" w14:textId="4FAD8741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Післяопераційний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силіконовий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лайнер</w:t>
      </w:r>
    </w:p>
    <w:p w14:paraId="0B7F2FCD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накладається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зняття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жорсткої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зйомної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пов’язки</w:t>
      </w:r>
      <w:proofErr w:type="spellEnd"/>
    </w:p>
    <w:p w14:paraId="29598099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F0E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залишкової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кінцівки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застосовують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той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самий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стиснення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роблять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люди</w:t>
      </w:r>
    </w:p>
    <w:p w14:paraId="69A73F1A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зменшує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набряк та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куксу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перед початком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протезування</w:t>
      </w:r>
      <w:proofErr w:type="spellEnd"/>
    </w:p>
    <w:p w14:paraId="502CBA43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зняти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біль</w:t>
      </w:r>
      <w:proofErr w:type="spellEnd"/>
    </w:p>
    <w:p w14:paraId="5EF272CE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прискорює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</w:p>
    <w:p w14:paraId="162B3A35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lastRenderedPageBreak/>
        <w:t>Його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стерилізувати</w:t>
      </w:r>
      <w:proofErr w:type="spellEnd"/>
    </w:p>
    <w:p w14:paraId="1364AFEA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лайнера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призначається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об’єму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кукси і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замінити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зменшенні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набряку</w:t>
      </w:r>
      <w:proofErr w:type="spellEnd"/>
    </w:p>
    <w:p w14:paraId="18BD6160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Недоліки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спадання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набряку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силіконовий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лайнер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лайнер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потрібного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є в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</w:p>
    <w:p w14:paraId="344D70A6" w14:textId="132C0082" w:rsidR="001E16F9" w:rsidRPr="00595F0E" w:rsidRDefault="00595F0E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Терапевтичні вправи</w:t>
      </w:r>
    </w:p>
    <w:p w14:paraId="19E762CE" w14:textId="4A09D51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компонентом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протезуванням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Нижче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наведено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варіанти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протезуванням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включені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індивідуальну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потребам конкретного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пацієнта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>. </w:t>
      </w:r>
      <w:r w:rsidR="00595F0E" w:rsidRPr="00595F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C62BC9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Базове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</w:p>
    <w:p w14:paraId="398AABA4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</w:p>
    <w:p w14:paraId="17E78274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Діапазон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рухів</w:t>
      </w:r>
      <w:proofErr w:type="spellEnd"/>
    </w:p>
    <w:p w14:paraId="278467BF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Функціональна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</w:p>
    <w:p w14:paraId="1D8CC86E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Загальний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стан</w:t>
      </w:r>
    </w:p>
    <w:p w14:paraId="3CF1E6B9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Самостійна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рухливість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ліжку</w:t>
      </w:r>
      <w:proofErr w:type="spellEnd"/>
    </w:p>
    <w:p w14:paraId="272D1AFB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Переміщення</w:t>
      </w:r>
      <w:proofErr w:type="spellEnd"/>
    </w:p>
    <w:p w14:paraId="0870C583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Просування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крісла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колісного</w:t>
      </w:r>
      <w:proofErr w:type="spellEnd"/>
    </w:p>
    <w:p w14:paraId="6955DA26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Рівновага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положенні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стоячи без опори</w:t>
      </w:r>
    </w:p>
    <w:p w14:paraId="1D9EE06A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Пересування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допоміжних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пристроїв</w:t>
      </w:r>
      <w:proofErr w:type="spellEnd"/>
    </w:p>
    <w:p w14:paraId="7313F89A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навичкам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ходьби</w:t>
      </w:r>
      <w:proofErr w:type="spellEnd"/>
    </w:p>
    <w:p w14:paraId="603531B1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F0E">
        <w:rPr>
          <w:rFonts w:ascii="Times New Roman" w:hAnsi="Times New Roman" w:cs="Times New Roman"/>
          <w:sz w:val="28"/>
          <w:szCs w:val="28"/>
        </w:rPr>
        <w:t xml:space="preserve">Баланс і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координація</w:t>
      </w:r>
      <w:proofErr w:type="spellEnd"/>
    </w:p>
    <w:p w14:paraId="73C035FA" w14:textId="7640BF06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Рівновага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одній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кінцівці</w:t>
      </w:r>
      <w:proofErr w:type="spellEnd"/>
    </w:p>
    <w:p w14:paraId="2FE3C07E" w14:textId="2CED4A0F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F0E">
        <w:rPr>
          <w:rFonts w:ascii="Times New Roman" w:hAnsi="Times New Roman" w:cs="Times New Roman"/>
          <w:sz w:val="28"/>
          <w:szCs w:val="28"/>
        </w:rPr>
        <w:t xml:space="preserve">Баланс у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положенні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сидячи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гімнастичному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м’ячі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Bosu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м’ячі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фітнесу</w:t>
      </w:r>
      <w:proofErr w:type="spellEnd"/>
    </w:p>
    <w:p w14:paraId="4F5C613D" w14:textId="263EE51D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рівноваги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час переходу з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лежачи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сидячи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стоячи</w:t>
      </w:r>
    </w:p>
    <w:p w14:paraId="260B353B" w14:textId="55E83DD6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проходити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безпечних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паралельними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брусами</w:t>
      </w:r>
      <w:proofErr w:type="spellEnd"/>
    </w:p>
    <w:p w14:paraId="1705EAA2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lastRenderedPageBreak/>
        <w:t>Орієнтація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на центр ваги та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опорну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основу</w:t>
      </w:r>
    </w:p>
    <w:p w14:paraId="5907064B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ходьбі</w:t>
      </w:r>
      <w:proofErr w:type="spellEnd"/>
    </w:p>
    <w:p w14:paraId="7D8942FC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здорової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кінцівки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протезованої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кінцівки</w:t>
      </w:r>
      <w:proofErr w:type="spellEnd"/>
    </w:p>
    <w:p w14:paraId="15DBB24A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F0E">
        <w:rPr>
          <w:rFonts w:ascii="Times New Roman" w:hAnsi="Times New Roman" w:cs="Times New Roman"/>
          <w:sz w:val="28"/>
          <w:szCs w:val="28"/>
        </w:rPr>
        <w:t>Руху тазу</w:t>
      </w:r>
    </w:p>
    <w:p w14:paraId="2853745C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Варіації</w:t>
      </w:r>
      <w:proofErr w:type="spellEnd"/>
    </w:p>
    <w:p w14:paraId="24A3BF19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Негайне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післяопераційне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протезування</w:t>
      </w:r>
      <w:proofErr w:type="spellEnd"/>
    </w:p>
    <w:p w14:paraId="38E6D51C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Рівнавага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стоячи на 2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кінцівках</w:t>
      </w:r>
      <w:proofErr w:type="spellEnd"/>
    </w:p>
    <w:p w14:paraId="0A8A6167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F0E">
        <w:rPr>
          <w:rFonts w:ascii="Times New Roman" w:hAnsi="Times New Roman" w:cs="Times New Roman"/>
          <w:sz w:val="28"/>
          <w:szCs w:val="28"/>
        </w:rPr>
        <w:t>Рухи тазу</w:t>
      </w:r>
    </w:p>
    <w:p w14:paraId="79C751CE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ходьби</w:t>
      </w:r>
      <w:proofErr w:type="spellEnd"/>
    </w:p>
    <w:p w14:paraId="6E9A3E2D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Перехід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сидячи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стоячи</w:t>
      </w:r>
    </w:p>
    <w:p w14:paraId="2E502562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вправами</w:t>
      </w:r>
      <w:proofErr w:type="spellEnd"/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2"/>
        <w:gridCol w:w="5037"/>
      </w:tblGrid>
      <w:tr w:rsidR="001E16F9" w:rsidRPr="00595F0E" w14:paraId="21C7CFE5" w14:textId="77777777" w:rsidTr="001E16F9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3B6DCC5" w14:textId="77777777" w:rsidR="001E16F9" w:rsidRPr="00595F0E" w:rsidRDefault="001E16F9" w:rsidP="00595F0E">
            <w:pPr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94045F0" w14:textId="77777777" w:rsidR="001E16F9" w:rsidRPr="00595F0E" w:rsidRDefault="001E16F9" w:rsidP="00595F0E">
            <w:pPr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6F9" w:rsidRPr="00595F0E" w14:paraId="294B4CAB" w14:textId="77777777" w:rsidTr="001E16F9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97F5784" w14:textId="77777777" w:rsidR="001E16F9" w:rsidRPr="00595F0E" w:rsidRDefault="001E16F9" w:rsidP="00595F0E">
            <w:pPr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Зміцнення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кукси з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використанням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та без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стрічки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Theraband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54D15D4" w14:textId="77777777" w:rsidR="001E16F9" w:rsidRPr="00595F0E" w:rsidRDefault="001E16F9" w:rsidP="00595F0E">
            <w:pPr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Відновлення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рівноваги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використанням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м’яча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BOSU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після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трансфеморальної</w:t>
            </w:r>
            <w:proofErr w:type="spellEnd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F0E">
              <w:rPr>
                <w:rFonts w:ascii="Times New Roman" w:hAnsi="Times New Roman" w:cs="Times New Roman"/>
                <w:sz w:val="28"/>
                <w:szCs w:val="28"/>
              </w:rPr>
              <w:t>ампутації</w:t>
            </w:r>
            <w:proofErr w:type="spellEnd"/>
          </w:p>
        </w:tc>
      </w:tr>
    </w:tbl>
    <w:p w14:paraId="4655467D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контролю</w:t>
      </w:r>
    </w:p>
    <w:p w14:paraId="507E14DC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Пересування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допоміжного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пристрою /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крісла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колісного</w:t>
      </w:r>
      <w:proofErr w:type="spellEnd"/>
    </w:p>
    <w:p w14:paraId="0FF31889" w14:textId="052136E5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післяопераційна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мобілізація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обов’язковою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умовою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погіршенню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ампутації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ідеалі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пацієнти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мобілізовані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допоміжного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пристрою, такого як ходунки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милиці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з опорою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лікоть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але часто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складно для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пацієнтів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супутніми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захворюваннями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пневматичного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компресійного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шинного протезу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рекомендується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пацієнтів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обмеженою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фізичною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активністю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рухливістю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>.  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тип шин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облягає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куксу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на рану, і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використовуватися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ранньої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мобілізації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протезування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>.  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Іншою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альтернативою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ранньої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мобілізації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пацієнтів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високим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ризиком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негайного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післяопераційного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протезу (англ.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immediate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postoperative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prosthesis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>, IPOP).  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Незйомна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жорстка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пов’язка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при IPOP,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накладається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протезистом у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палаті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навколо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кукси для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lastRenderedPageBreak/>
        <w:t>перенесення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ваги на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сухожилля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надколінка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пателлярну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уникнути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на рану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ранньої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мобілізації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>. </w:t>
      </w:r>
      <w:hyperlink r:id="rId15" w:anchor="cite_note-lusardi-3" w:history="1">
        <w:r w:rsidRPr="00595F0E">
          <w:rPr>
            <w:rStyle w:val="a4"/>
            <w:rFonts w:ascii="Times New Roman" w:hAnsi="Times New Roman" w:cs="Times New Roman"/>
            <w:sz w:val="28"/>
            <w:szCs w:val="28"/>
          </w:rPr>
          <w:t>(3)</w:t>
        </w:r>
      </w:hyperlink>
      <w:r w:rsidRPr="00595F0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Пацієнти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пройти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обстеження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з’ясувати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допоміжний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пристрій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найбільше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підходить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ранньої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мобілізації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навчитися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безпечному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пересуванню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пристрою.</w:t>
      </w:r>
    </w:p>
    <w:p w14:paraId="7C0106B9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Пересування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милиць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>:</w:t>
      </w:r>
    </w:p>
    <w:p w14:paraId="4E6BE7EF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fldChar w:fldCharType="begin"/>
      </w:r>
      <w:r w:rsidRPr="00595F0E">
        <w:rPr>
          <w:rFonts w:ascii="Times New Roman" w:hAnsi="Times New Roman" w:cs="Times New Roman"/>
          <w:sz w:val="28"/>
          <w:szCs w:val="28"/>
        </w:rPr>
        <w:instrText xml:space="preserve"> HYPERLINK "https://www.saintlukeshealthsystem.org/health-library/using-crutches-after-lower-limb-amputation" </w:instrText>
      </w:r>
      <w:r w:rsidRPr="00595F0E">
        <w:rPr>
          <w:rFonts w:ascii="Times New Roman" w:hAnsi="Times New Roman" w:cs="Times New Roman"/>
          <w:sz w:val="28"/>
          <w:szCs w:val="28"/>
        </w:rPr>
        <w:fldChar w:fldCharType="separate"/>
      </w:r>
      <w:r w:rsidRPr="00595F0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милиць</w:t>
      </w:r>
      <w:proofErr w:type="spellEnd"/>
      <w:r w:rsidRPr="00595F0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з опорою на </w:t>
      </w:r>
      <w:proofErr w:type="spellStart"/>
      <w:r w:rsidRPr="00595F0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лікоть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fldChar w:fldCharType="end"/>
      </w:r>
      <w:r w:rsidRPr="00595F0E">
        <w:rPr>
          <w:rFonts w:ascii="Times New Roman" w:hAnsi="Times New Roman" w:cs="Times New Roman"/>
          <w:sz w:val="28"/>
          <w:szCs w:val="28"/>
        </w:rPr>
        <w:t xml:space="preserve"> при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ампутації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кінцівки</w:t>
      </w:r>
      <w:proofErr w:type="spellEnd"/>
    </w:p>
    <w:p w14:paraId="1CAD9810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fldChar w:fldCharType="begin"/>
      </w:r>
      <w:r w:rsidRPr="00595F0E">
        <w:rPr>
          <w:rFonts w:ascii="Times New Roman" w:hAnsi="Times New Roman" w:cs="Times New Roman"/>
          <w:sz w:val="28"/>
          <w:szCs w:val="28"/>
        </w:rPr>
        <w:instrText xml:space="preserve"> HYPERLINK "https://patienteducation.osumc.edu/Documents/crutches-amp.pdf" </w:instrText>
      </w:r>
      <w:r w:rsidRPr="00595F0E">
        <w:rPr>
          <w:rFonts w:ascii="Times New Roman" w:hAnsi="Times New Roman" w:cs="Times New Roman"/>
          <w:sz w:val="28"/>
          <w:szCs w:val="28"/>
        </w:rPr>
        <w:fldChar w:fldCharType="separate"/>
      </w:r>
      <w:r w:rsidRPr="00595F0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пахвових</w:t>
      </w:r>
      <w:proofErr w:type="spellEnd"/>
      <w:r w:rsidRPr="00595F0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595F0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милиць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fldChar w:fldCharType="end"/>
      </w:r>
      <w:r w:rsidRPr="00595F0E">
        <w:rPr>
          <w:rFonts w:ascii="Times New Roman" w:hAnsi="Times New Roman" w:cs="Times New Roman"/>
          <w:sz w:val="28"/>
          <w:szCs w:val="28"/>
        </w:rPr>
        <w:t xml:space="preserve"> при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ампутації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кінцівки</w:t>
      </w:r>
      <w:proofErr w:type="spellEnd"/>
    </w:p>
    <w:p w14:paraId="4AAF684A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Альтернативні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варіанти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fldChar w:fldCharType="begin"/>
      </w:r>
      <w:r w:rsidRPr="00595F0E">
        <w:rPr>
          <w:rFonts w:ascii="Times New Roman" w:hAnsi="Times New Roman" w:cs="Times New Roman"/>
          <w:sz w:val="28"/>
          <w:szCs w:val="28"/>
        </w:rPr>
        <w:instrText xml:space="preserve"> HYPERLINK "http://iwalk-free.com/amputee-testimonials/" </w:instrText>
      </w:r>
      <w:r w:rsidRPr="00595F0E">
        <w:rPr>
          <w:rFonts w:ascii="Times New Roman" w:hAnsi="Times New Roman" w:cs="Times New Roman"/>
          <w:sz w:val="28"/>
          <w:szCs w:val="28"/>
        </w:rPr>
        <w:fldChar w:fldCharType="separate"/>
      </w:r>
      <w:r w:rsidRPr="00595F0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милиці</w:t>
      </w:r>
      <w:proofErr w:type="spellEnd"/>
      <w:r w:rsidRPr="00595F0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“</w:t>
      </w:r>
      <w:proofErr w:type="spellStart"/>
      <w:r w:rsidRPr="00595F0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вільні</w:t>
      </w:r>
      <w:proofErr w:type="spellEnd"/>
      <w:r w:rsidRPr="00595F0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руки”</w:t>
      </w:r>
      <w:r w:rsidRPr="00595F0E">
        <w:rPr>
          <w:rFonts w:ascii="Times New Roman" w:hAnsi="Times New Roman" w:cs="Times New Roman"/>
          <w:sz w:val="28"/>
          <w:szCs w:val="28"/>
        </w:rPr>
        <w:fldChar w:fldCharType="end"/>
      </w:r>
    </w:p>
    <w:p w14:paraId="4640CDDA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Перегляньте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нижче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про те, як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пацієнти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ампутованими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кінцівками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безпечно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пересуватися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сходами за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милиць</w:t>
      </w:r>
      <w:proofErr w:type="spellEnd"/>
    </w:p>
    <w:p w14:paraId="3D3282E8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Переміщення</w:t>
      </w:r>
      <w:proofErr w:type="spellEnd"/>
    </w:p>
    <w:p w14:paraId="55D4C5E9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кроком у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функціональної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незалежності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навчити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пацієнта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безпечно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та по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переміщатися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зазначеними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видами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поверхонь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особливо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йдеться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пацієнта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двосторонньою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ампутацією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ослабленого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пацієнта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>.</w:t>
      </w:r>
    </w:p>
    <w:p w14:paraId="5EB96E5C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ліжка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закріпленого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стільця</w:t>
      </w:r>
      <w:proofErr w:type="spellEnd"/>
    </w:p>
    <w:p w14:paraId="0ACB9CC9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ліжка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крісла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колісного</w:t>
      </w:r>
      <w:proofErr w:type="spellEnd"/>
    </w:p>
    <w:p w14:paraId="404A8AEF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крісла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колісного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ліжка</w:t>
      </w:r>
      <w:proofErr w:type="spellEnd"/>
    </w:p>
    <w:p w14:paraId="06C0CA58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F0E">
        <w:rPr>
          <w:rFonts w:ascii="Times New Roman" w:hAnsi="Times New Roman" w:cs="Times New Roman"/>
          <w:sz w:val="28"/>
          <w:szCs w:val="28"/>
        </w:rPr>
        <w:t xml:space="preserve">Пересадка з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крісла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колісного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підлогу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пацієнта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достатньо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м’язової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дії</w:t>
      </w:r>
      <w:proofErr w:type="spellEnd"/>
    </w:p>
    <w:p w14:paraId="2D1F4B71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F0E">
        <w:rPr>
          <w:rFonts w:ascii="Times New Roman" w:hAnsi="Times New Roman" w:cs="Times New Roman"/>
          <w:sz w:val="28"/>
          <w:szCs w:val="28"/>
        </w:rPr>
        <w:t xml:space="preserve">Пересадка з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підлоги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крісло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колісне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пацієнта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достатньо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м’язової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дії</w:t>
      </w:r>
      <w:proofErr w:type="spellEnd"/>
    </w:p>
    <w:p w14:paraId="249DEDBE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F0E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інвалідного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візка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в туалет</w:t>
      </w:r>
    </w:p>
    <w:p w14:paraId="59B654A2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F0E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інвалідного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візка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в душ / ванну</w:t>
      </w:r>
    </w:p>
    <w:p w14:paraId="42D9B70C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F0E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інвалідного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візка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автомобіль</w:t>
      </w:r>
      <w:proofErr w:type="spellEnd"/>
    </w:p>
    <w:p w14:paraId="35502C4A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F0E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автомобіля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інвалідного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візка</w:t>
      </w:r>
      <w:proofErr w:type="spellEnd"/>
    </w:p>
    <w:p w14:paraId="730D48A8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Направлення</w:t>
      </w:r>
      <w:proofErr w:type="spellEnd"/>
    </w:p>
    <w:p w14:paraId="5FA93A8F" w14:textId="4D9E226B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F0E">
        <w:rPr>
          <w:rFonts w:ascii="Times New Roman" w:hAnsi="Times New Roman" w:cs="Times New Roman"/>
          <w:sz w:val="28"/>
          <w:szCs w:val="28"/>
        </w:rPr>
        <w:t xml:space="preserve">Физиотерапевт должен всегда помнить, что, несмотря на то, что он может зачастую руководить процессом реабилитации пациента с </w:t>
      </w:r>
      <w:r w:rsidRPr="00595F0E">
        <w:rPr>
          <w:rFonts w:ascii="Times New Roman" w:hAnsi="Times New Roman" w:cs="Times New Roman"/>
          <w:sz w:val="28"/>
          <w:szCs w:val="28"/>
        </w:rPr>
        <w:lastRenderedPageBreak/>
        <w:t>ампутацией,  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передпротезна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реабілітація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міждисциплінарним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завданням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терапевти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ізольовано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Нижче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наведено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входити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до складу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міждисциплінарного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(MDT) і до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звернутися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>.</w:t>
      </w:r>
      <w:r w:rsidR="00595F0E" w:rsidRPr="00595F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385E95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F0E">
        <w:rPr>
          <w:rFonts w:ascii="Times New Roman" w:hAnsi="Times New Roman" w:cs="Times New Roman"/>
          <w:sz w:val="28"/>
          <w:szCs w:val="28"/>
        </w:rPr>
        <w:t xml:space="preserve">Психолог –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консультаційна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</w:p>
    <w:p w14:paraId="5F9163C7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Медична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сестра –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фахівець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догляду за ранами</w:t>
      </w:r>
    </w:p>
    <w:p w14:paraId="67ADA7A0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Дієтолог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– контроль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цукрового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діабету</w:t>
      </w:r>
      <w:proofErr w:type="spellEnd"/>
    </w:p>
    <w:p w14:paraId="0C049944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Лікар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фантомного болю</w:t>
      </w:r>
    </w:p>
    <w:p w14:paraId="27788E03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F0E">
        <w:rPr>
          <w:rFonts w:ascii="Times New Roman" w:hAnsi="Times New Roman" w:cs="Times New Roman"/>
          <w:sz w:val="28"/>
          <w:szCs w:val="28"/>
        </w:rPr>
        <w:t xml:space="preserve">Протезист –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протезами</w:t>
      </w:r>
    </w:p>
    <w:p w14:paraId="56ECC76E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Окупаційний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терапевт –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адаптація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домашніх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</w:p>
    <w:p w14:paraId="54ABA598" w14:textId="77777777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інвалідності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</w:p>
    <w:p w14:paraId="57FCA1DE" w14:textId="469B39CA" w:rsidR="001E16F9" w:rsidRPr="00595F0E" w:rsidRDefault="001E16F9" w:rsidP="00595F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Місцева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ампутацією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кінцівок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інвалідів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взаємної</w:t>
      </w:r>
      <w:proofErr w:type="spellEnd"/>
      <w:r w:rsidRPr="0059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0E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="00595F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1E16F9" w:rsidRPr="00595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0E2C"/>
    <w:multiLevelType w:val="multilevel"/>
    <w:tmpl w:val="A38E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352F8"/>
    <w:multiLevelType w:val="multilevel"/>
    <w:tmpl w:val="8CC8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C3F92"/>
    <w:multiLevelType w:val="multilevel"/>
    <w:tmpl w:val="E970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12D04"/>
    <w:multiLevelType w:val="multilevel"/>
    <w:tmpl w:val="76065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15EE4"/>
    <w:multiLevelType w:val="multilevel"/>
    <w:tmpl w:val="437C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E1370"/>
    <w:multiLevelType w:val="multilevel"/>
    <w:tmpl w:val="E3FE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0F1B78"/>
    <w:multiLevelType w:val="multilevel"/>
    <w:tmpl w:val="04EE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B41C0E"/>
    <w:multiLevelType w:val="multilevel"/>
    <w:tmpl w:val="08027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D872F5"/>
    <w:multiLevelType w:val="multilevel"/>
    <w:tmpl w:val="EFCC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E613C2"/>
    <w:multiLevelType w:val="multilevel"/>
    <w:tmpl w:val="5B820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15F"/>
    <w:rsid w:val="000539BC"/>
    <w:rsid w:val="001E16F9"/>
    <w:rsid w:val="00445841"/>
    <w:rsid w:val="00595F0E"/>
    <w:rsid w:val="00FA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A932"/>
  <w15:chartTrackingRefBased/>
  <w15:docId w15:val="{5C1C7F7F-185A-4D57-B759-4DC8A017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6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paragraph" w:styleId="2">
    <w:name w:val="heading 2"/>
    <w:basedOn w:val="a"/>
    <w:link w:val="20"/>
    <w:uiPriority w:val="9"/>
    <w:qFormat/>
    <w:rsid w:val="001E16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paragraph" w:styleId="3">
    <w:name w:val="heading 3"/>
    <w:basedOn w:val="a"/>
    <w:link w:val="30"/>
    <w:uiPriority w:val="9"/>
    <w:qFormat/>
    <w:rsid w:val="001E16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6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6F9"/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character" w:customStyle="1" w:styleId="20">
    <w:name w:val="Заголовок 2 Знак"/>
    <w:basedOn w:val="a0"/>
    <w:link w:val="2"/>
    <w:uiPriority w:val="9"/>
    <w:rsid w:val="001E16F9"/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character" w:customStyle="1" w:styleId="30">
    <w:name w:val="Заголовок 3 Знак"/>
    <w:basedOn w:val="a0"/>
    <w:link w:val="3"/>
    <w:uiPriority w:val="9"/>
    <w:rsid w:val="001E16F9"/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customStyle="1" w:styleId="mw-headline">
    <w:name w:val="mw-headline"/>
    <w:basedOn w:val="a0"/>
    <w:rsid w:val="001E16F9"/>
  </w:style>
  <w:style w:type="paragraph" w:styleId="a3">
    <w:name w:val="Normal (Web)"/>
    <w:basedOn w:val="a"/>
    <w:uiPriority w:val="99"/>
    <w:semiHidden/>
    <w:unhideWhenUsed/>
    <w:rsid w:val="001E1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Hyperlink"/>
    <w:basedOn w:val="a0"/>
    <w:uiPriority w:val="99"/>
    <w:unhideWhenUsed/>
    <w:rsid w:val="001E16F9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E16F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0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ideshare.net/jrod_reggie/grieving-and-psychological-impact-on-amputees-presentation" TargetMode="External"/><Relationship Id="rId13" Type="http://schemas.openxmlformats.org/officeDocument/2006/relationships/hyperlink" Target="https://www.physio-pedia.com/File:Transfemoral_bandaging_2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pmc/articles/PMC2018851/pdf/i1523-5998-9-4-303.pdf" TargetMode="Externa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angs.physio-pedia.com/uk/emotional-and-psychological-reactions-to-amputation-uk" TargetMode="External"/><Relationship Id="rId11" Type="http://schemas.openxmlformats.org/officeDocument/2006/relationships/hyperlink" Target="https://www.physio-pedia.com/File:Transtibial_bandaging.png" TargetMode="External"/><Relationship Id="rId5" Type="http://schemas.openxmlformats.org/officeDocument/2006/relationships/hyperlink" Target="https://langs.physio-pedia.com/uk/assessment-of-the-amputee-uk" TargetMode="External"/><Relationship Id="rId15" Type="http://schemas.openxmlformats.org/officeDocument/2006/relationships/hyperlink" Target="https://langs.physio-pedia.com/uk/pre-fitting-management-of-the-patient-with-a-lower-limb-amputation-uk/" TargetMode="External"/><Relationship Id="rId10" Type="http://schemas.openxmlformats.org/officeDocument/2006/relationships/hyperlink" Target="https://langs.physio-pedia.com/uk/complications-post-amputation-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hysio-pedia.com/Pain_Management_of_the_Amputee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1970</Words>
  <Characters>11231</Characters>
  <Application>Microsoft Office Word</Application>
  <DocSecurity>0</DocSecurity>
  <Lines>93</Lines>
  <Paragraphs>26</Paragraphs>
  <ScaleCrop>false</ScaleCrop>
  <Company/>
  <LinksUpToDate>false</LinksUpToDate>
  <CharactersWithSpaces>13175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Бессарабова</dc:creator>
  <cp:keywords/>
  <dc:description/>
  <cp:lastModifiedBy>Елена Бессарабова</cp:lastModifiedBy>
  <cp:revision>2</cp:revision>
  <dcterms:created xsi:type="dcterms:W3CDTF">2023-10-06T09:03:00Z</dcterms:created>
  <dcterms:modified xsi:type="dcterms:W3CDTF">2023-10-06T09:03:00Z</dcterms:modified>
</cp:coreProperties>
</file>