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EB7F" w14:textId="77777777" w:rsidR="002C00DD" w:rsidRDefault="002C00DD"/>
    <w:tbl>
      <w:tblPr>
        <w:tblpPr w:leftFromText="180" w:rightFromText="180" w:horzAnchor="margin" w:tblpY="640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5"/>
      </w:tblGrid>
      <w:tr w:rsidR="002C00DD" w:rsidRPr="003024DB" w14:paraId="7E5F777C" w14:textId="77777777" w:rsidTr="007B5AA2">
        <w:tc>
          <w:tcPr>
            <w:tcW w:w="9965" w:type="dxa"/>
            <w:vAlign w:val="center"/>
          </w:tcPr>
          <w:p w14:paraId="6C655568" w14:textId="7E50ABB0" w:rsidR="002C00DD" w:rsidRDefault="002C00DD" w:rsidP="0059694D">
            <w:pPr>
              <w:spacing w:line="360" w:lineRule="auto"/>
              <w:jc w:val="center"/>
              <w:rPr>
                <w:b/>
                <w:bCs/>
              </w:rPr>
            </w:pPr>
            <w:r w:rsidRPr="002C00DD">
              <w:rPr>
                <w:b/>
                <w:bCs/>
              </w:rPr>
              <w:t>Напрями творчого проектування та обґрунтування проектних рішень</w:t>
            </w:r>
          </w:p>
          <w:p w14:paraId="1D55B0EF" w14:textId="068A77E3" w:rsidR="002C00DD" w:rsidRPr="002C00DD" w:rsidRDefault="002C00DD" w:rsidP="0059694D">
            <w:pPr>
              <w:tabs>
                <w:tab w:val="left" w:pos="320"/>
              </w:tabs>
              <w:spacing w:line="360" w:lineRule="auto"/>
              <w:ind w:right="-132"/>
              <w:jc w:val="center"/>
              <w:rPr>
                <w:b/>
                <w:bCs/>
                <w:szCs w:val="24"/>
                <w:lang w:eastAsia="ru-RU"/>
              </w:rPr>
            </w:pPr>
            <w:r w:rsidRPr="002C00DD">
              <w:rPr>
                <w:b/>
                <w:bCs/>
                <w:szCs w:val="24"/>
                <w:lang w:eastAsia="ru-RU"/>
              </w:rPr>
              <w:t>Питання для підготовки:</w:t>
            </w:r>
          </w:p>
          <w:p w14:paraId="7B71763F" w14:textId="77777777" w:rsidR="002C00DD" w:rsidRPr="003024DB" w:rsidRDefault="002C00DD" w:rsidP="0059694D">
            <w:pPr>
              <w:tabs>
                <w:tab w:val="left" w:pos="320"/>
              </w:tabs>
              <w:spacing w:line="360" w:lineRule="auto"/>
              <w:ind w:right="-132"/>
              <w:jc w:val="left"/>
              <w:rPr>
                <w:sz w:val="28"/>
                <w:szCs w:val="24"/>
                <w:lang w:eastAsia="ru-RU"/>
              </w:rPr>
            </w:pPr>
            <w:r w:rsidRPr="003024DB">
              <w:rPr>
                <w:sz w:val="28"/>
                <w:szCs w:val="24"/>
                <w:lang w:eastAsia="ru-RU"/>
              </w:rPr>
              <w:t xml:space="preserve">1. </w:t>
            </w:r>
            <w:r w:rsidRPr="003024DB">
              <w:t xml:space="preserve">Перспективи </w:t>
            </w:r>
            <w:proofErr w:type="spellStart"/>
            <w:r w:rsidRPr="003024DB">
              <w:t>розрозвитку</w:t>
            </w:r>
            <w:proofErr w:type="spellEnd"/>
            <w:r w:rsidRPr="003024DB">
              <w:t xml:space="preserve"> металургійного виробництва. </w:t>
            </w:r>
          </w:p>
          <w:p w14:paraId="4AD23C48" w14:textId="77777777" w:rsidR="002C00DD" w:rsidRPr="003024DB" w:rsidRDefault="002C00DD" w:rsidP="0059694D">
            <w:pPr>
              <w:spacing w:after="145" w:line="360" w:lineRule="auto"/>
              <w:jc w:val="left"/>
              <w:rPr>
                <w:color w:val="auto"/>
              </w:rPr>
            </w:pPr>
            <w:r w:rsidRPr="003024DB">
              <w:t>2. Світові и вітчизняні тенденції розвитку технологій та конструкцій в металургійному виробництві. 3. Перспективні напрямки розвитку виробництві сталі. 4. Напрямки розвитку позапічної обробки сталі.</w:t>
            </w:r>
            <w:r w:rsidRPr="003024DB">
              <w:br/>
              <w:t xml:space="preserve">5. Вимоги до машинобудівних підприємств у частині якості, властивостей готових виробів і заготовок. </w:t>
            </w:r>
            <w:r w:rsidRPr="003024DB">
              <w:br/>
              <w:t>6. Вимоги до продукції металургійних підприємств, що постачається для машинобудування.</w:t>
            </w:r>
            <w:r w:rsidRPr="003024DB">
              <w:br/>
              <w:t>7. Основні положення  проектування.</w:t>
            </w:r>
            <w:r w:rsidRPr="003024DB">
              <w:br/>
              <w:t>8. Активне конструювання. -9. Елементи винахідницької діяльності. -</w:t>
            </w:r>
            <w:r w:rsidRPr="003024DB">
              <w:br/>
              <w:t xml:space="preserve">10. Прогнозування перспективного рівня обладнання та </w:t>
            </w:r>
            <w:proofErr w:type="spellStart"/>
            <w:r w:rsidRPr="003024DB">
              <w:t>техногічних</w:t>
            </w:r>
            <w:proofErr w:type="spellEnd"/>
            <w:r w:rsidRPr="003024DB">
              <w:t xml:space="preserve"> перспектив. </w:t>
            </w:r>
            <w:r w:rsidRPr="003024DB">
              <w:br/>
              <w:t xml:space="preserve">11. Маса та металомісткість конструкції. </w:t>
            </w:r>
            <w:r w:rsidRPr="003024DB">
              <w:br/>
              <w:t xml:space="preserve">12. Генеральні плани створюваних підприємств та </w:t>
            </w:r>
            <w:proofErr w:type="spellStart"/>
            <w:r w:rsidRPr="003024DB">
              <w:t>цехів</w:t>
            </w:r>
            <w:proofErr w:type="spellEnd"/>
            <w:r w:rsidRPr="003024DB">
              <w:t xml:space="preserve">. </w:t>
            </w:r>
            <w:r w:rsidRPr="003024DB">
              <w:br/>
              <w:t xml:space="preserve">13. Кінематичні схеми </w:t>
            </w:r>
            <w:proofErr w:type="spellStart"/>
            <w:r w:rsidRPr="003024DB">
              <w:t>внутрішньоцехових</w:t>
            </w:r>
            <w:proofErr w:type="spellEnd"/>
            <w:r w:rsidRPr="003024DB">
              <w:t xml:space="preserve"> агрегатів та окремих механізмів.</w:t>
            </w:r>
            <w:r w:rsidRPr="003024DB">
              <w:br/>
              <w:t xml:space="preserve">14. Стадії проектування, загальні відомості. </w:t>
            </w:r>
            <w:r w:rsidRPr="003024DB">
              <w:br/>
              <w:t xml:space="preserve">15. Уніфікація та нормалізація деталей, вузлів і агрегатів, секціонування. </w:t>
            </w:r>
            <w:r w:rsidRPr="003024DB">
              <w:br/>
              <w:t>16. Метод базового агрегату, конвертування та компаундування.</w:t>
            </w:r>
            <w:r w:rsidRPr="003024DB">
              <w:br/>
            </w:r>
            <w:r w:rsidRPr="003024DB">
              <w:rPr>
                <w:color w:val="auto"/>
              </w:rPr>
              <w:t xml:space="preserve">17. Загальні   економічні основи  конструювання машин. </w:t>
            </w:r>
            <w:r w:rsidRPr="003024DB">
              <w:rPr>
                <w:color w:val="auto"/>
              </w:rPr>
              <w:br/>
              <w:t xml:space="preserve">18. Напрями та рекомендації щодо удосконалення металургійного  обладнання. 19. Підвищення продуктивності. </w:t>
            </w:r>
            <w:r w:rsidRPr="003024DB">
              <w:rPr>
                <w:color w:val="auto"/>
              </w:rPr>
              <w:br/>
              <w:t xml:space="preserve">20 Зниження матеріаломісткості. </w:t>
            </w:r>
            <w:r w:rsidRPr="003024DB">
              <w:rPr>
                <w:color w:val="auto"/>
              </w:rPr>
              <w:br/>
              <w:t xml:space="preserve">21. Ресурсозбереження. </w:t>
            </w:r>
            <w:r w:rsidRPr="003024DB">
              <w:rPr>
                <w:color w:val="auto"/>
              </w:rPr>
              <w:br/>
              <w:t>22. Критерії та засоби підвищення довговічності. 23. Експлуатаційна надійність.</w:t>
            </w:r>
            <w:r w:rsidRPr="003024DB">
              <w:rPr>
                <w:color w:val="auto"/>
              </w:rPr>
              <w:br/>
            </w:r>
            <w:r w:rsidRPr="003024DB">
              <w:t xml:space="preserve">34. Основні положення стандартизації при проектуванні. </w:t>
            </w:r>
            <w:r w:rsidRPr="003024DB">
              <w:br/>
              <w:t xml:space="preserve">25. Стадії життєвого циклу продукції та види робіт.  </w:t>
            </w:r>
            <w:r w:rsidRPr="003024DB">
              <w:br/>
              <w:t xml:space="preserve">26. Види і комплектність документів, технічна та конструкторська документація. </w:t>
            </w:r>
            <w:r w:rsidRPr="003024DB">
              <w:br/>
              <w:t xml:space="preserve">27. Види проектів. </w:t>
            </w:r>
            <w:r w:rsidRPr="003024DB">
              <w:br/>
              <w:t xml:space="preserve">28. Основні вимоги до точності виготовлення і складання виробів. </w:t>
            </w:r>
            <w:r w:rsidRPr="003024DB">
              <w:br/>
              <w:t>29. Основні  правила виконання  креслеників.</w:t>
            </w:r>
            <w:r w:rsidRPr="003024DB">
              <w:rPr>
                <w:color w:val="auto"/>
              </w:rPr>
              <w:br/>
            </w:r>
            <w:r w:rsidRPr="003024DB">
              <w:t xml:space="preserve">30. Машинобудівні сталі. </w:t>
            </w:r>
            <w:r w:rsidRPr="003024DB">
              <w:br/>
              <w:t xml:space="preserve">31. Чавуни та ливарні матеріали. </w:t>
            </w:r>
            <w:r w:rsidRPr="003024DB">
              <w:br/>
              <w:t xml:space="preserve">32. Кольорові метали. </w:t>
            </w:r>
            <w:r w:rsidRPr="003024DB">
              <w:br/>
            </w:r>
            <w:r w:rsidRPr="003024DB">
              <w:lastRenderedPageBreak/>
              <w:t xml:space="preserve">33. Пластмаси та кераміка. 34. Підшипники та комплектуючі для них. </w:t>
            </w:r>
            <w:r w:rsidRPr="003024DB">
              <w:br/>
              <w:t xml:space="preserve">35. Пристрої та види оснастки для монтажу. </w:t>
            </w:r>
            <w:r w:rsidRPr="003024DB">
              <w:br/>
              <w:t>36. Мастильні матеріали та пристрої для змащування.</w:t>
            </w:r>
            <w:r w:rsidRPr="003024DB">
              <w:rPr>
                <w:color w:val="auto"/>
              </w:rPr>
              <w:br/>
            </w:r>
            <w:r w:rsidRPr="003024DB">
              <w:t xml:space="preserve">37. Засоби передачі обертання. </w:t>
            </w:r>
            <w:r w:rsidRPr="003024DB">
              <w:br/>
              <w:t xml:space="preserve">38. Зубчасті та гнучкі передачі. </w:t>
            </w:r>
            <w:r w:rsidRPr="003024DB">
              <w:br/>
              <w:t xml:space="preserve">39. Вали, осі, муфти. </w:t>
            </w:r>
            <w:r w:rsidRPr="003024DB">
              <w:br/>
              <w:t xml:space="preserve">40. </w:t>
            </w:r>
            <w:proofErr w:type="spellStart"/>
            <w:r w:rsidRPr="003024DB">
              <w:t>Шлицеві</w:t>
            </w:r>
            <w:proofErr w:type="spellEnd"/>
            <w:r w:rsidRPr="003024DB">
              <w:t xml:space="preserve"> та шпонкові з'єднання. </w:t>
            </w:r>
            <w:r w:rsidRPr="003024DB">
              <w:br/>
              <w:t xml:space="preserve">41. Жорсткість </w:t>
            </w:r>
            <w:proofErr w:type="spellStart"/>
            <w:r w:rsidRPr="003024DB">
              <w:t>конструцій</w:t>
            </w:r>
            <w:proofErr w:type="spellEnd"/>
            <w:r w:rsidRPr="003024DB">
              <w:t xml:space="preserve">. 42. Циклічна та контактна міцність. </w:t>
            </w:r>
            <w:r w:rsidRPr="003024DB">
              <w:br/>
              <w:t>43. Різьбові з'єднання.</w:t>
            </w:r>
            <w:r w:rsidRPr="003024DB">
              <w:br/>
              <w:t xml:space="preserve">44. Типи  електродвигунів, визначення  їх параметрів.  45. Передумови для удосконалення діючих машин і розробки  нового  обладнання. </w:t>
            </w:r>
            <w:r w:rsidRPr="003024DB">
              <w:br/>
              <w:t xml:space="preserve">46. Моніторинг і діагностика діючих машин. </w:t>
            </w:r>
            <w:r w:rsidRPr="003024DB">
              <w:br/>
              <w:t xml:space="preserve">47. Прилади для вібраційного моніторингу і діагностики, для виміру енергосилових параметрів. </w:t>
            </w:r>
            <w:r w:rsidRPr="003024DB">
              <w:br/>
              <w:t>48. Елементи технічного аудиту.</w:t>
            </w:r>
          </w:p>
        </w:tc>
      </w:tr>
    </w:tbl>
    <w:p w14:paraId="107BA9A9" w14:textId="77777777" w:rsidR="002C00DD" w:rsidRDefault="002C00DD" w:rsidP="0059694D">
      <w:pPr>
        <w:spacing w:line="360" w:lineRule="auto"/>
      </w:pPr>
    </w:p>
    <w:sectPr w:rsidR="002C0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73"/>
    <w:rsid w:val="00010A73"/>
    <w:rsid w:val="002C00DD"/>
    <w:rsid w:val="002F2173"/>
    <w:rsid w:val="0059694D"/>
    <w:rsid w:val="00D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5DD3"/>
  <w15:chartTrackingRefBased/>
  <w15:docId w15:val="{98434634-E4DE-43E8-A9A2-1517EB02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DD"/>
    <w:pPr>
      <w:spacing w:line="240" w:lineRule="auto"/>
    </w:pPr>
    <w:rPr>
      <w:rFonts w:eastAsia="Times New Roman"/>
      <w:color w:val="000000"/>
      <w:sz w:val="24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Йосип Огінський</dc:creator>
  <cp:keywords/>
  <dc:description/>
  <cp:lastModifiedBy>Йосип Огінський</cp:lastModifiedBy>
  <cp:revision>4</cp:revision>
  <dcterms:created xsi:type="dcterms:W3CDTF">2023-10-09T08:57:00Z</dcterms:created>
  <dcterms:modified xsi:type="dcterms:W3CDTF">2023-10-09T10:11:00Z</dcterms:modified>
</cp:coreProperties>
</file>