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Pr="00475DCD" w:rsidRDefault="00475DCD" w:rsidP="00475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DCD">
        <w:rPr>
          <w:rFonts w:ascii="Times New Roman" w:hAnsi="Times New Roman" w:cs="Times New Roman"/>
          <w:sz w:val="28"/>
          <w:szCs w:val="28"/>
          <w:lang w:val="uk-UA"/>
        </w:rPr>
        <w:t>Тема 1.</w:t>
      </w:r>
    </w:p>
    <w:p w:rsidR="00475DCD" w:rsidRPr="00475DCD" w:rsidRDefault="00475DC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75DCD">
        <w:rPr>
          <w:rFonts w:ascii="Times New Roman" w:hAnsi="Times New Roman" w:cs="Times New Roman"/>
          <w:sz w:val="28"/>
          <w:szCs w:val="28"/>
          <w:lang w:val="uk-UA"/>
        </w:rPr>
        <w:t>Фольклор як соціокультурне явище. – 6 годин.</w:t>
      </w:r>
    </w:p>
    <w:sectPr w:rsidR="00475DCD" w:rsidRPr="00475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E2"/>
    <w:rsid w:val="00475DCD"/>
    <w:rsid w:val="009B07E2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2016-01-18T22:46:00Z</dcterms:created>
  <dcterms:modified xsi:type="dcterms:W3CDTF">2016-01-18T22:48:00Z</dcterms:modified>
</cp:coreProperties>
</file>