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CB01" w14:textId="77777777" w:rsidR="00733265" w:rsidRPr="00733265" w:rsidRDefault="00733265" w:rsidP="00733265">
      <w:pPr>
        <w:spacing w:after="0" w:line="240" w:lineRule="auto"/>
        <w:jc w:val="center"/>
        <w:outlineLvl w:val="2"/>
        <w:rPr>
          <w:rFonts w:ascii="Ubuntu Condensed" w:eastAsia="Times New Roman" w:hAnsi="Ubuntu Condensed" w:cs="Times New Roman"/>
          <w:b/>
          <w:bCs/>
          <w:color w:val="000000"/>
          <w:kern w:val="0"/>
          <w:sz w:val="29"/>
          <w:szCs w:val="29"/>
          <w:lang w:eastAsia="uk-UA"/>
          <w14:ligatures w14:val="none"/>
        </w:rPr>
      </w:pPr>
      <w:r w:rsidRPr="00733265">
        <w:rPr>
          <w:rFonts w:ascii="Noto Serif" w:eastAsia="Times New Roman" w:hAnsi="Noto Serif" w:cs="Noto Serif"/>
          <w:b/>
          <w:bCs/>
          <w:color w:val="0000FF"/>
          <w:kern w:val="0"/>
          <w:sz w:val="52"/>
          <w:szCs w:val="52"/>
          <w:lang w:eastAsia="uk-UA"/>
          <w14:ligatures w14:val="none"/>
        </w:rPr>
        <w:t>ТЕМА 4. УКРАЇНА І ЄВРОПЕЙСЬКИЙ СОЮЗ: ОСНОВИ СПІВРОБІТНИЦТВА</w:t>
      </w:r>
    </w:p>
    <w:p w14:paraId="6BFDAD1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DE56A5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hyperlink r:id="rId4" w:anchor="4-1" w:history="1">
        <w:r w:rsidRPr="00733265">
          <w:rPr>
            <w:rFonts w:ascii="Noto Serif" w:eastAsia="Times New Roman" w:hAnsi="Noto Serif" w:cs="Noto Serif"/>
            <w:color w:val="0000FF"/>
            <w:kern w:val="0"/>
            <w:u w:val="single"/>
            <w:lang w:eastAsia="uk-UA"/>
            <w14:ligatures w14:val="none"/>
          </w:rPr>
          <w:t>4.1 Формування договірно-правових і політичних засад співробітництва України і ЄС</w:t>
        </w:r>
      </w:hyperlink>
    </w:p>
    <w:p w14:paraId="652E335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hyperlink r:id="rId5" w:anchor="4-2" w:history="1">
        <w:r w:rsidRPr="00733265">
          <w:rPr>
            <w:rFonts w:ascii="Noto Serif" w:eastAsia="Times New Roman" w:hAnsi="Noto Serif" w:cs="Noto Serif"/>
            <w:color w:val="0000FF"/>
            <w:kern w:val="0"/>
            <w:u w:val="single"/>
            <w:lang w:eastAsia="uk-UA"/>
            <w14:ligatures w14:val="none"/>
          </w:rPr>
          <w:t>4.2 Критерії розширення і поглиблення європейської інтеграції</w:t>
        </w:r>
      </w:hyperlink>
    </w:p>
    <w:p w14:paraId="3874B4C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hyperlink r:id="rId6" w:anchor="4-3" w:history="1">
        <w:r w:rsidRPr="00733265">
          <w:rPr>
            <w:rFonts w:ascii="Noto Serif" w:eastAsia="Times New Roman" w:hAnsi="Noto Serif" w:cs="Noto Serif"/>
            <w:color w:val="0000FF"/>
            <w:kern w:val="0"/>
            <w:u w:val="single"/>
            <w:lang w:eastAsia="uk-UA"/>
            <w14:ligatures w14:val="none"/>
          </w:rPr>
          <w:t>4.3 Політика ЄС щодо України</w:t>
        </w:r>
      </w:hyperlink>
    </w:p>
    <w:p w14:paraId="7047E8C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1BA9DE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F49290C" w14:textId="77777777" w:rsidR="00733265" w:rsidRPr="00733265" w:rsidRDefault="00733265" w:rsidP="00733265">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733265">
        <w:rPr>
          <w:rFonts w:ascii="Noto Serif" w:eastAsia="Times New Roman" w:hAnsi="Noto Serif" w:cs="Noto Serif"/>
          <w:b/>
          <w:bCs/>
          <w:i/>
          <w:iCs/>
          <w:color w:val="000000"/>
          <w:kern w:val="0"/>
          <w:sz w:val="26"/>
          <w:szCs w:val="26"/>
          <w:lang w:eastAsia="uk-UA"/>
          <w14:ligatures w14:val="none"/>
        </w:rPr>
        <w:t>4.1 ФОРМУВАННЯ ДОГОВІРНО-ПРАВОВИХ І ПОЛІТИЧНИХ ЗАСАД СПІВРОБІТНИЦТВА УКРАЇНИ І ЄС</w:t>
      </w:r>
    </w:p>
    <w:p w14:paraId="74B881A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553E59F" w14:textId="77777777" w:rsidR="00733265" w:rsidRPr="00733265" w:rsidRDefault="00733265" w:rsidP="00733265">
      <w:pPr>
        <w:spacing w:after="0" w:line="240" w:lineRule="auto"/>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ІСТОРІЯ ВІДНОСИН УКРАЇНИ ІЗ ЄС — </w:t>
      </w:r>
      <w:r w:rsidRPr="00733265">
        <w:rPr>
          <w:rFonts w:ascii="Noto Serif" w:eastAsia="Times New Roman" w:hAnsi="Noto Serif" w:cs="Noto Serif"/>
          <w:color w:val="000000"/>
          <w:kern w:val="0"/>
          <w:lang w:eastAsia="uk-UA"/>
          <w14:ligatures w14:val="none"/>
        </w:rPr>
        <w:t>фактично</w:t>
      </w:r>
      <w:r w:rsidRPr="00733265">
        <w:rPr>
          <w:rFonts w:ascii="Noto Serif" w:eastAsia="Times New Roman" w:hAnsi="Noto Serif" w:cs="Noto Serif"/>
          <w:b/>
          <w:bCs/>
          <w:color w:val="000000"/>
          <w:kern w:val="0"/>
          <w:lang w:eastAsia="uk-UA"/>
          <w14:ligatures w14:val="none"/>
        </w:rPr>
        <w:t> </w:t>
      </w:r>
      <w:r w:rsidRPr="00733265">
        <w:rPr>
          <w:rFonts w:ascii="Noto Serif" w:eastAsia="Times New Roman" w:hAnsi="Noto Serif" w:cs="Noto Serif"/>
          <w:color w:val="000000"/>
          <w:kern w:val="0"/>
          <w:lang w:eastAsia="uk-UA"/>
          <w14:ligatures w14:val="none"/>
        </w:rPr>
        <w:t>розпочалися в грудні 1991 року, коли Міністр закордонних справ Нідерландів, як представник головуючої в ЄС країни, у своєму листі від імені Євросоюзу офіційно визнав незалежність України.</w:t>
      </w:r>
    </w:p>
    <w:p w14:paraId="5E9CF6E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6B7E1B7"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Табл. 4.1 — Хронологія договірно-правового співробітництва України і ЄС</w:t>
      </w:r>
      <w:bookmarkStart w:id="0" w:name="_ftnref36"/>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"http://eeas.europa.eu/delegations/ukraine/eu_ukraine/chronology/index_uk.htm." \o "Найповнішу хронологію відносин Україна – ЄС дивись : Хронологія двосторонніх відносин [Електронний ресурс]. — Режим доступу : http://eeas.europa.eu/delegations/ukraine/eu_ukraine/chronology/index_uk.htm. —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[36]</w:t>
      </w:r>
      <w:r w:rsidRPr="00733265">
        <w:rPr>
          <w:rFonts w:ascii="Noto Serif" w:eastAsia="Times New Roman" w:hAnsi="Noto Serif" w:cs="Noto Serif"/>
          <w:color w:val="000000"/>
          <w:kern w:val="0"/>
          <w:vertAlign w:val="superscript"/>
          <w:lang w:eastAsia="uk-UA"/>
          <w14:ligatures w14:val="none"/>
        </w:rPr>
        <w:fldChar w:fldCharType="end"/>
      </w:r>
      <w:bookmarkEnd w:id="0"/>
    </w:p>
    <w:p w14:paraId="175B0A5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9"/>
        <w:gridCol w:w="8061"/>
      </w:tblGrid>
      <w:tr w:rsidR="00733265" w:rsidRPr="00733265" w14:paraId="3027CF43"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AA9664F"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Дата</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FC693FA"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Подія</w:t>
            </w:r>
          </w:p>
        </w:tc>
      </w:tr>
      <w:tr w:rsidR="00733265" w:rsidRPr="00733265" w14:paraId="3BC7F750"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247177C"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1993,  2 липня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C5C90DD"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вперше був проголошено намір України розбудовувати відносини з ЄС на принципах інтеграції у Постанові Верховної Ради України від 2 липня 1993 року «Про основні напрями зовнішньої політики України».</w:t>
            </w:r>
          </w:p>
          <w:p w14:paraId="062E5D8F"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0E0D4BB2"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1679308"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1994, 14 червня</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D803AA6"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Угода про партнерство та співробітництво (УПС), стала першою  правовою основою відносин між Україною та ЄС, яка започаткувала співробітництво з широкого кола політичних, торговельно-економічних та гуманітарних питань</w:t>
            </w:r>
          </w:p>
          <w:p w14:paraId="3B56DA9B"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42A21F07"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F1DA7E8"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1998, 11 червня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FBF4A9F"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розроблено Стратегію інтеграції України до ЄС</w:t>
            </w:r>
          </w:p>
          <w:p w14:paraId="089E795A"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7FA45F5C"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08D2542"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2005, 21 лютого</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1DB4D63"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під час засідання Ради з питань співробітництва схвалено План дій Україна-ЄС – двосторонній політичний документ, який дав змогу суттєво розширити двостороннє співробітництво України до ЄС без внесення змін до чинної договірно-правової бази.  План дій містив перелік конкретизованих зобов'язань України у сфері зміцнення демократичних інституцій, боротьби з корупцією, структурних економічних реформ та заходів по розвитку співпраці з ЄС</w:t>
            </w:r>
          </w:p>
          <w:p w14:paraId="7534A4D4"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097E63C5"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FEB407C"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2007, 5 березня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F15BCD2"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з огляду на завершення у березні 2008 року 10-річного терміну дії УПС, Україна та ЄС розпочали переговорний процес щодо укладення нової угоди між Україною та ЄС. На період до укладення нової угоди чинність УПС щороку автоматично продовжується за взаємною згодою сторін.</w:t>
            </w:r>
          </w:p>
          <w:p w14:paraId="5FF9B415"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400C2925"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0C643BF"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2008, 18 лютого</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121E5A7"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після завершення вступу України до Світової організації торгівлі  були започатковані переговори щодо створення поглибленої та всеохоплюючої зони вільної торгівлі між Україною та ЄС, що відкриває шлях до лібералізації руху товарів, капіталів та послуг</w:t>
            </w:r>
          </w:p>
          <w:p w14:paraId="6C742DC1"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0BEC7A4A"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D9336CD"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2009</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3AA1F75"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відповідно до домовленостей, досягнутих в ході Паризького саміту Україна-ЄС, сторонами був розроблений та схвалений Порядок денний асоціації (ПДА), який замінив План дій Україна – ЄС та поставив собі за мету слугувати орієнтиром для проведення реформ в Україні</w:t>
            </w:r>
          </w:p>
          <w:p w14:paraId="30857BD5"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7B05DD60"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A1C2F8B"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lastRenderedPageBreak/>
              <w:t>2010, 1 липня</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658A5FC"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Політика України щодо розбудови відносин з Європейським Союзом впроваджується на основі Закону України від «Про засади внутрішньої і зовнішньої політики» (в редакції від 1 січня 2015 року). Відповідно до статті 11 Закону однією з основоположних засад зовнішньої політики України є «забезпечення інтеграції України в європейський політичний, економічний, правовий простір з метою набуття членства в ЄС»</w:t>
            </w:r>
          </w:p>
          <w:p w14:paraId="41E4A11E"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5B4CA8A3"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B0AB824"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2012, 30 березня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547181D"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текст майбутньої Угоди було парафовано главами переговірних команд України та ЄС</w:t>
            </w:r>
          </w:p>
          <w:p w14:paraId="237504FA"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1FC637AB"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6EE4970"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2014, 21 березня</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E840776"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підписано політичну частину Угоди про асоціацію</w:t>
            </w:r>
          </w:p>
          <w:p w14:paraId="4A1EEF11"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5D4A5278"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2526275"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2014, 27 червня</w:t>
            </w:r>
          </w:p>
        </w:tc>
        <w:tc>
          <w:tcPr>
            <w:tcW w:w="898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D97D2FB"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підписано економічну частину Угоди про асоціацію</w:t>
            </w:r>
          </w:p>
          <w:p w14:paraId="4485D507"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 </w:t>
            </w:r>
          </w:p>
        </w:tc>
      </w:tr>
      <w:tr w:rsidR="00733265" w:rsidRPr="00733265" w14:paraId="06498E87" w14:textId="77777777" w:rsidTr="00733265">
        <w:trPr>
          <w:jc w:val="center"/>
        </w:trPr>
        <w:tc>
          <w:tcPr>
            <w:tcW w:w="26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74AB923" w14:textId="77777777" w:rsidR="00733265" w:rsidRPr="00733265" w:rsidRDefault="00733265" w:rsidP="00733265">
            <w:pPr>
              <w:spacing w:after="0" w:line="240" w:lineRule="auto"/>
              <w:jc w:val="center"/>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b/>
                <w:bCs/>
                <w:kern w:val="0"/>
                <w:sz w:val="18"/>
                <w:szCs w:val="18"/>
                <w:lang w:eastAsia="uk-UA"/>
                <w14:ligatures w14:val="none"/>
              </w:rPr>
              <w:t>2014, 16 вересня</w:t>
            </w:r>
          </w:p>
        </w:tc>
        <w:tc>
          <w:tcPr>
            <w:tcW w:w="898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8AD2AA3" w14:textId="77777777" w:rsidR="00733265" w:rsidRPr="00733265" w:rsidRDefault="00733265" w:rsidP="00733265">
            <w:pPr>
              <w:spacing w:after="0" w:line="240" w:lineRule="auto"/>
              <w:ind w:firstLine="480"/>
              <w:jc w:val="both"/>
              <w:rPr>
                <w:rFonts w:ascii="Noto Serif" w:eastAsia="Times New Roman" w:hAnsi="Noto Serif" w:cs="Noto Serif"/>
                <w:kern w:val="0"/>
                <w:sz w:val="18"/>
                <w:szCs w:val="18"/>
                <w:lang w:eastAsia="uk-UA"/>
                <w14:ligatures w14:val="none"/>
              </w:rPr>
            </w:pPr>
            <w:r w:rsidRPr="00733265">
              <w:rPr>
                <w:rFonts w:ascii="Noto Serif" w:eastAsia="Times New Roman" w:hAnsi="Noto Serif" w:cs="Noto Serif"/>
                <w:kern w:val="0"/>
                <w:sz w:val="18"/>
                <w:szCs w:val="18"/>
                <w:lang w:eastAsia="uk-UA"/>
                <w14:ligatures w14:val="none"/>
              </w:rPr>
              <w:t>Верховна Рада України та Європейський Парламент синхронно ратифікували Угоду про асоціацію між Україною та ЄС</w:t>
            </w:r>
          </w:p>
        </w:tc>
      </w:tr>
    </w:tbl>
    <w:p w14:paraId="4EED865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0946B0E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7FCB7A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51F3F11" w14:textId="77777777" w:rsidR="00733265" w:rsidRPr="00733265" w:rsidRDefault="00733265" w:rsidP="00733265">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733265">
        <w:rPr>
          <w:rFonts w:ascii="Noto Serif" w:eastAsia="Times New Roman" w:hAnsi="Noto Serif" w:cs="Noto Serif"/>
          <w:b/>
          <w:bCs/>
          <w:i/>
          <w:iCs/>
          <w:color w:val="000000"/>
          <w:kern w:val="0"/>
          <w:sz w:val="26"/>
          <w:szCs w:val="26"/>
          <w:lang w:eastAsia="uk-UA"/>
          <w14:ligatures w14:val="none"/>
        </w:rPr>
        <w:t>4.2 КРИТЕРІЇ РОЗШИРЕННЯ І ПОГЛИБЛЕННЯ ЄВРОПЕЙСЬКОЇ ІНТЕГРАЦІЇ </w:t>
      </w:r>
    </w:p>
    <w:p w14:paraId="0AC3332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D8D95E2" w14:textId="77777777" w:rsidR="00733265" w:rsidRPr="00733265" w:rsidRDefault="00733265" w:rsidP="00733265">
      <w:pPr>
        <w:spacing w:after="0" w:line="240" w:lineRule="auto"/>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ВИМОГИ ДО ДЕРЖАВ-КАНДИДАТІВ НА ВСТУП ДО ЄС— КОПЕНГАГЕНСЬКІ КРИТЕРІЇ</w:t>
      </w:r>
      <w:r w:rsidRPr="00733265">
        <w:rPr>
          <w:rFonts w:ascii="Noto Serif" w:eastAsia="Times New Roman" w:hAnsi="Noto Serif" w:cs="Noto Serif"/>
          <w:color w:val="000000"/>
          <w:kern w:val="0"/>
          <w:lang w:eastAsia="uk-UA"/>
          <w14:ligatures w14:val="none"/>
        </w:rPr>
        <w:t>,</w:t>
      </w:r>
      <w:bookmarkStart w:id="1" w:name="_ftnref37"/>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"http://ukraine-eu.mfa.gov.ua/ua/about-ukraine/european-integration/ua-eu-relations." \o "Копенгагенські критерії членства в Європейському Союзі [Електронний ресурс]. — Режим доступу : http://ukraine-eu.mfa.gov.ua/ua/about-ukraine/european-integration/ua-eu-relations.—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[37]</w:t>
      </w:r>
      <w:r w:rsidRPr="00733265">
        <w:rPr>
          <w:rFonts w:ascii="Noto Serif" w:eastAsia="Times New Roman" w:hAnsi="Noto Serif" w:cs="Noto Serif"/>
          <w:color w:val="000000"/>
          <w:kern w:val="0"/>
          <w:vertAlign w:val="superscript"/>
          <w:lang w:eastAsia="uk-UA"/>
          <w14:ligatures w14:val="none"/>
        </w:rPr>
        <w:fldChar w:fldCharType="end"/>
      </w:r>
      <w:bookmarkEnd w:id="1"/>
      <w:r w:rsidRPr="00733265">
        <w:rPr>
          <w:rFonts w:ascii="Noto Serif" w:eastAsia="Times New Roman" w:hAnsi="Noto Serif" w:cs="Noto Serif"/>
          <w:color w:val="000000"/>
          <w:kern w:val="0"/>
          <w:lang w:eastAsia="uk-UA"/>
          <w14:ligatures w14:val="none"/>
        </w:rPr>
        <w:t> — схвалені на засіданні Європейської Ради у Копенгагені у червні 1993 р. Двері загальноєвропейського дому відкриті для кожної європейської держави, яка відповідає копенгагенським критеріям. Майбутні члени повинні не лише забезпечити імплементацію до національного законодавства комплексу європейських правових нормі стандартів, а й застосовувати їх на практиці. Вони включають в цілому чотири групи вимог:</w:t>
      </w:r>
    </w:p>
    <w:p w14:paraId="3BBC0CF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8494D8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F30BF16"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drawing>
          <wp:inline distT="0" distB="0" distL="0" distR="0" wp14:anchorId="3A797196" wp14:editId="600753D8">
            <wp:extent cx="7037070" cy="3717290"/>
            <wp:effectExtent l="0" t="0" r="0" b="0"/>
            <wp:docPr id="210"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7070" cy="3717290"/>
                    </a:xfrm>
                    <a:prstGeom prst="rect">
                      <a:avLst/>
                    </a:prstGeom>
                    <a:noFill/>
                    <a:ln>
                      <a:noFill/>
                    </a:ln>
                  </pic:spPr>
                </pic:pic>
              </a:graphicData>
            </a:graphic>
          </wp:inline>
        </w:drawing>
      </w:r>
    </w:p>
    <w:p w14:paraId="3C1F96E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2ED8CD1"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0E3FE06E"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color w:val="000000"/>
          <w:kern w:val="0"/>
          <w:sz w:val="24"/>
          <w:szCs w:val="24"/>
          <w:lang w:eastAsia="uk-UA"/>
          <w14:ligatures w14:val="none"/>
        </w:rPr>
        <w:lastRenderedPageBreak/>
        <w:br w:type="textWrapping" w:clear="all"/>
      </w:r>
    </w:p>
    <w:p w14:paraId="43919FC5"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Рис. 4.1 Критерії вступу держав-кандидатів до ЄС</w:t>
      </w:r>
    </w:p>
    <w:p w14:paraId="44AB312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68A07F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xml:space="preserve">Кожен із цих чотирьох критеріїв містить низку </w:t>
      </w:r>
      <w:proofErr w:type="spellStart"/>
      <w:r w:rsidRPr="00733265">
        <w:rPr>
          <w:rFonts w:ascii="Noto Serif" w:eastAsia="Times New Roman" w:hAnsi="Noto Serif" w:cs="Noto Serif"/>
          <w:color w:val="000000"/>
          <w:kern w:val="0"/>
          <w:lang w:eastAsia="uk-UA"/>
          <w14:ligatures w14:val="none"/>
        </w:rPr>
        <w:t>субкритеріїв</w:t>
      </w:r>
      <w:bookmarkStart w:id="2" w:name="_ftnref38"/>
      <w:proofErr w:type="spellEnd"/>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"https://multimedia.posibnyky.vntu.edu.ua/mm/Ukraine-EU/txt/korn.htm" \l "_ftn38" \o "Детельніше про це, й наскільки Україна відповідає цим критеріям, див. : Міхель Д. О. Копенгагенські критерії як чинники розбудови демократичних процесів та наближеності до європейського рівня життя в Україні [Електронний ресурс] / Д. О. Міхель."</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[38]</w:t>
      </w:r>
      <w:r w:rsidRPr="00733265">
        <w:rPr>
          <w:rFonts w:ascii="Noto Serif" w:eastAsia="Times New Roman" w:hAnsi="Noto Serif" w:cs="Noto Serif"/>
          <w:color w:val="000000"/>
          <w:kern w:val="0"/>
          <w:vertAlign w:val="superscript"/>
          <w:lang w:eastAsia="uk-UA"/>
          <w14:ligatures w14:val="none"/>
        </w:rPr>
        <w:fldChar w:fldCharType="end"/>
      </w:r>
      <w:bookmarkEnd w:id="2"/>
      <w:r w:rsidRPr="00733265">
        <w:rPr>
          <w:rFonts w:ascii="Noto Serif" w:eastAsia="Times New Roman" w:hAnsi="Noto Serif" w:cs="Noto Serif"/>
          <w:color w:val="000000"/>
          <w:kern w:val="0"/>
          <w:vertAlign w:val="superscript"/>
          <w:lang w:eastAsia="uk-UA"/>
          <w14:ligatures w14:val="none"/>
        </w:rPr>
        <w:t>,</w:t>
      </w:r>
      <w:bookmarkStart w:id="3" w:name="_ftnref39"/>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"http://www.kas.de/wf/doc/kas_10203-1522-1-30.pdf?070504093003" \o "Критерії членства в СОТ, ЄС та НАТО: Інтеграційні перспективи України [Електронний ресурс] / за ред. І .І. Жовква. — К., 2007. — Режим доступу : http://www.kas.de/wf/doc/kas_10203-1522-1-30.pdf?070504093003. —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[39]</w:t>
      </w:r>
      <w:r w:rsidRPr="00733265">
        <w:rPr>
          <w:rFonts w:ascii="Noto Serif" w:eastAsia="Times New Roman" w:hAnsi="Noto Serif" w:cs="Noto Serif"/>
          <w:color w:val="000000"/>
          <w:kern w:val="0"/>
          <w:vertAlign w:val="superscript"/>
          <w:lang w:eastAsia="uk-UA"/>
          <w14:ligatures w14:val="none"/>
        </w:rPr>
        <w:fldChar w:fldCharType="end"/>
      </w:r>
      <w:bookmarkEnd w:id="3"/>
      <w:r w:rsidRPr="00733265">
        <w:rPr>
          <w:rFonts w:ascii="Noto Serif" w:eastAsia="Times New Roman" w:hAnsi="Noto Serif" w:cs="Noto Serif"/>
          <w:color w:val="000000"/>
          <w:kern w:val="0"/>
          <w:lang w:eastAsia="uk-UA"/>
          <w14:ligatures w14:val="none"/>
        </w:rPr>
        <w:t>, існують також і так звані </w:t>
      </w:r>
      <w:r w:rsidRPr="00733265">
        <w:rPr>
          <w:rFonts w:ascii="Noto Serif" w:eastAsia="Times New Roman" w:hAnsi="Noto Serif" w:cs="Noto Serif"/>
          <w:b/>
          <w:bCs/>
          <w:color w:val="000000"/>
          <w:kern w:val="0"/>
          <w:lang w:eastAsia="uk-UA"/>
          <w14:ligatures w14:val="none"/>
        </w:rPr>
        <w:t>КРИТЕРІЇ КОНВЕРГЕНЦІЇ</w:t>
      </w:r>
      <w:r w:rsidRPr="00733265">
        <w:rPr>
          <w:rFonts w:ascii="Noto Serif" w:eastAsia="Times New Roman" w:hAnsi="Noto Serif" w:cs="Noto Serif"/>
          <w:color w:val="000000"/>
          <w:kern w:val="0"/>
          <w:lang w:eastAsia="uk-UA"/>
          <w14:ligatures w14:val="none"/>
        </w:rPr>
        <w:t> (зближення), виконання яких дає державам ЄС право приєднатися до третього етапу Економічного й монетарного союзу (ЕМС).</w:t>
      </w:r>
      <w:bookmarkStart w:id="4" w:name="_ftnref40a"/>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"https://uk.wikipedia.org/wiki/%D0%9A%D1%80%D0%B8%D1%82%D0%B5%D1%80%D1%96%D1%97_%D0%BA%D0%BE%D0%BD%D0%B2%D0%B5%D1%80%D0%B3%D0%B5%D0%BD%D1%86%D1%96%D1%97." \o "Критерії конвергенції [Електронний ресурс]. — Режим доступу : https://uk.wikipedia.org/wiki/Критерії_конвергенції.—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[40a],</w:t>
      </w:r>
      <w:r w:rsidRPr="00733265">
        <w:rPr>
          <w:rFonts w:ascii="Noto Serif" w:eastAsia="Times New Roman" w:hAnsi="Noto Serif" w:cs="Noto Serif"/>
          <w:color w:val="000000"/>
          <w:kern w:val="0"/>
          <w:vertAlign w:val="superscript"/>
          <w:lang w:eastAsia="uk-UA"/>
          <w14:ligatures w14:val="none"/>
        </w:rPr>
        <w:fldChar w:fldCharType="end"/>
      </w:r>
      <w:bookmarkEnd w:id="4"/>
      <w:r w:rsidRPr="00733265">
        <w:rPr>
          <w:rFonts w:ascii="Noto Serif" w:eastAsia="Times New Roman" w:hAnsi="Noto Serif" w:cs="Noto Serif"/>
          <w:color w:val="000000"/>
          <w:kern w:val="0"/>
          <w:vertAlign w:val="superscript"/>
          <w:lang w:eastAsia="uk-UA"/>
          <w14:ligatures w14:val="none"/>
        </w:rPr>
        <w:t> </w:t>
      </w:r>
      <w:bookmarkStart w:id="5" w:name="_ftnref40b"/>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"http://dspace.nbuv.gov.ua/bitstream/handle/123456789/14911/26-Chugaev.pdf?sequence=1." \o "Чугаєв О. А.Критерії конвергенції та валютна стабільність [Електронний ресурс] / О. А. Чугаєв. — Режим доступу : http://dspace.nbuv.gov.ua/bitstream/handle/123456789/14911/26-Chugaev.pdf?sequence=1.—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[40b]</w:t>
      </w:r>
      <w:r w:rsidRPr="00733265">
        <w:rPr>
          <w:rFonts w:ascii="Noto Serif" w:eastAsia="Times New Roman" w:hAnsi="Noto Serif" w:cs="Noto Serif"/>
          <w:color w:val="000000"/>
          <w:kern w:val="0"/>
          <w:vertAlign w:val="superscript"/>
          <w:lang w:eastAsia="uk-UA"/>
          <w14:ligatures w14:val="none"/>
        </w:rPr>
        <w:fldChar w:fldCharType="end"/>
      </w:r>
      <w:bookmarkEnd w:id="5"/>
      <w:r w:rsidRPr="00733265">
        <w:rPr>
          <w:rFonts w:ascii="Noto Serif" w:eastAsia="Times New Roman" w:hAnsi="Noto Serif" w:cs="Noto Serif"/>
          <w:color w:val="000000"/>
          <w:kern w:val="0"/>
          <w:lang w:eastAsia="uk-UA"/>
          <w14:ligatures w14:val="none"/>
        </w:rPr>
        <w:t>  </w:t>
      </w:r>
    </w:p>
    <w:p w14:paraId="2860D4F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ПОЛІТИЧНИЙ</w:t>
      </w:r>
      <w:r w:rsidRPr="00733265">
        <w:rPr>
          <w:rFonts w:ascii="Noto Serif" w:eastAsia="Times New Roman" w:hAnsi="Noto Serif" w:cs="Noto Serif"/>
          <w:color w:val="000000"/>
          <w:kern w:val="0"/>
          <w:lang w:eastAsia="uk-UA"/>
          <w14:ligatures w14:val="none"/>
        </w:rPr>
        <w:t> критерій містить наступні складові:</w:t>
      </w:r>
    </w:p>
    <w:p w14:paraId="25D7DFB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42862D5" wp14:editId="6C64454A">
            <wp:extent cx="188595" cy="188595"/>
            <wp:effectExtent l="0" t="0" r="1905" b="1905"/>
            <wp:docPr id="211" name="Рисунок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забезпечення свободи парламентських та президентських виборів і виборів до місцевих органів влади;</w:t>
      </w:r>
    </w:p>
    <w:p w14:paraId="65AEB90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DC325C3" wp14:editId="228C89AD">
            <wp:extent cx="188595" cy="188595"/>
            <wp:effectExtent l="0" t="0" r="1905" b="1905"/>
            <wp:docPr id="212" name="Рисунок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створення та розширення діяльності демократичних інституцій,    неурядових організацій, незалежних засобів масової інформації;</w:t>
      </w:r>
    </w:p>
    <w:p w14:paraId="7AFD7FA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48A718A" wp14:editId="4E327DBE">
            <wp:extent cx="188595" cy="188595"/>
            <wp:effectExtent l="0" t="0" r="1905" b="1905"/>
            <wp:docPr id="213" name="Рисунок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прийняття законодавства, що надійно захищає права меншин,    створення відповідних установ;</w:t>
      </w:r>
    </w:p>
    <w:p w14:paraId="6A16633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20ECE39" wp14:editId="0D0A1F47">
            <wp:extent cx="188595" cy="188595"/>
            <wp:effectExtent l="0" t="0" r="1905" b="1905"/>
            <wp:docPr id="214" name="Рисунок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посилення боротьби з організованою злочинністю та корупцією;</w:t>
      </w:r>
    </w:p>
    <w:p w14:paraId="77E9D88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85E8D9B" wp14:editId="3E6B6797">
            <wp:extent cx="188595" cy="188595"/>
            <wp:effectExtent l="0" t="0" r="1905" b="1905"/>
            <wp:docPr id="215" name="Рисунок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вирішення питань правового забезпечення та посилення спроможності боротьби з відмиванням коштів;</w:t>
      </w:r>
    </w:p>
    <w:p w14:paraId="612483D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971D2D0" wp14:editId="5EB14FED">
            <wp:extent cx="188595" cy="188595"/>
            <wp:effectExtent l="0" t="0" r="1905" b="1905"/>
            <wp:docPr id="216" name="Рисунок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створення надійно діючих інститутів у сфері юстиції та внутрішніх прав, гарантії незалежності судової влади, покращення функціонування судів;</w:t>
      </w:r>
    </w:p>
    <w:p w14:paraId="50E1BB9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354132F" wp14:editId="5B70D4FA">
            <wp:extent cx="188595" cy="188595"/>
            <wp:effectExtent l="0" t="0" r="1905" b="1905"/>
            <wp:docPr id="217" name="Рисунок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захист особистих прав і свобод людини.</w:t>
      </w:r>
    </w:p>
    <w:p w14:paraId="7EE5B74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ЕКОНОМІЧНИЙ </w:t>
      </w:r>
      <w:r w:rsidRPr="00733265">
        <w:rPr>
          <w:rFonts w:ascii="Noto Serif" w:eastAsia="Times New Roman" w:hAnsi="Noto Serif" w:cs="Noto Serif"/>
          <w:color w:val="000000"/>
          <w:kern w:val="0"/>
          <w:lang w:eastAsia="uk-UA"/>
          <w14:ligatures w14:val="none"/>
        </w:rPr>
        <w:t xml:space="preserve">критерій також мають низку </w:t>
      </w:r>
      <w:proofErr w:type="spellStart"/>
      <w:r w:rsidRPr="00733265">
        <w:rPr>
          <w:rFonts w:ascii="Noto Serif" w:eastAsia="Times New Roman" w:hAnsi="Noto Serif" w:cs="Noto Serif"/>
          <w:color w:val="000000"/>
          <w:kern w:val="0"/>
          <w:lang w:eastAsia="uk-UA"/>
          <w14:ligatures w14:val="none"/>
        </w:rPr>
        <w:t>підкритеріїв</w:t>
      </w:r>
      <w:proofErr w:type="spellEnd"/>
      <w:r w:rsidRPr="00733265">
        <w:rPr>
          <w:rFonts w:ascii="Noto Serif" w:eastAsia="Times New Roman" w:hAnsi="Noto Serif" w:cs="Noto Serif"/>
          <w:color w:val="000000"/>
          <w:kern w:val="0"/>
          <w:lang w:eastAsia="uk-UA"/>
          <w14:ligatures w14:val="none"/>
        </w:rPr>
        <w:t>:</w:t>
      </w:r>
    </w:p>
    <w:p w14:paraId="4DB5774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2A77209" wp14:editId="3CCE765F">
            <wp:extent cx="188595" cy="188595"/>
            <wp:effectExtent l="0" t="0" r="1905" b="1905"/>
            <wp:docPr id="218" name="Рисунок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рівновага між попитом та пропозицією зумовлена вільною грою   ринкових сил;</w:t>
      </w:r>
    </w:p>
    <w:p w14:paraId="45AD160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79FEFB4" wp14:editId="2DBBBA63">
            <wp:extent cx="188595" cy="188595"/>
            <wp:effectExtent l="0" t="0" r="1905" b="1905"/>
            <wp:docPr id="219" name="Рисунок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лібералізація цін і торгівлі;</w:t>
      </w:r>
    </w:p>
    <w:p w14:paraId="1C33492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5EA3452" wp14:editId="54E5E4C9">
            <wp:extent cx="188595" cy="188595"/>
            <wp:effectExtent l="0" t="0" r="1905" b="1905"/>
            <wp:docPr id="220" name="Рисунок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відсутність значних перешкод для виходу на ринок (створення нових підприємств) та виходу з ринку (банкрутство);</w:t>
      </w:r>
    </w:p>
    <w:p w14:paraId="768A875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286D94D" wp14:editId="5A4B1020">
            <wp:extent cx="188595" cy="188595"/>
            <wp:effectExtent l="0" t="0" r="1905" b="1905"/>
            <wp:docPr id="221" name="Рисунок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наявність правової бази, включаючи регулювання права власності;</w:t>
      </w:r>
    </w:p>
    <w:p w14:paraId="3B768EC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CB67B76" wp14:editId="4FAB1D8E">
            <wp:extent cx="188595" cy="188595"/>
            <wp:effectExtent l="0" t="0" r="1905" b="1905"/>
            <wp:docPr id="222" name="Рисунок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виконання законів і контрактів;</w:t>
      </w:r>
    </w:p>
    <w:p w14:paraId="4E4FA26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299B98F" wp14:editId="0E708F26">
            <wp:extent cx="188595" cy="188595"/>
            <wp:effectExtent l="0" t="0" r="1905" b="1905"/>
            <wp:docPr id="223" name="Рисунок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досягнення макроекономічної стабільності, включаючи стабілізацію рівня цін та стабільність державних фінансів і зовнішнього сальдо;</w:t>
      </w:r>
    </w:p>
    <w:p w14:paraId="601577B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F306360" wp14:editId="4E6100B0">
            <wp:extent cx="188595" cy="188595"/>
            <wp:effectExtent l="0" t="0" r="1905" b="1905"/>
            <wp:docPr id="224" name="Рисунок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наявність широкого консенсусу щодо основ економічної політики;</w:t>
      </w:r>
    </w:p>
    <w:p w14:paraId="329FB4A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A643D38" wp14:editId="728D9303">
            <wp:extent cx="188595" cy="188595"/>
            <wp:effectExtent l="0" t="0" r="1905" b="1905"/>
            <wp:docPr id="225" name="Рисунок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достатня розвиненість фінансового сектора для спрямування накопичених коштів на інвестування виробництва;</w:t>
      </w:r>
    </w:p>
    <w:p w14:paraId="33E325F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C4DDC17" wp14:editId="12013DE4">
            <wp:extent cx="188595" cy="188595"/>
            <wp:effectExtent l="0" t="0" r="1905" b="1905"/>
            <wp:docPr id="226" name="Рисунок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наявність діючої ринкової економіки з рівнем макроекономічної стабільності, достатнім для того, щоб економічні суб’єкти приймали рішення в умовах стабільного і передбачуваного клімату;</w:t>
      </w:r>
    </w:p>
    <w:p w14:paraId="2C345BC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4B01E02" wp14:editId="037C05D3">
            <wp:extent cx="188595" cy="188595"/>
            <wp:effectExtent l="0" t="0" r="1905" b="1905"/>
            <wp:docPr id="227" name="Рисунок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достатня кількість і за належну ціну людських й матеріальних ресурсів, включаючи інфраструктуру (енергопостачання, телекомунікації, транспорт та ін.), освіту і дослідження та перспективу діяльності в цій сфері;</w:t>
      </w:r>
    </w:p>
    <w:p w14:paraId="6FB0F1F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7F833FD" wp14:editId="17EF3D91">
            <wp:extent cx="188595" cy="188595"/>
            <wp:effectExtent l="0" t="0" r="1905" b="1905"/>
            <wp:docPr id="228" name="Рисунок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ступінь впливу політики Уряду і законодавства на конкурентоспроможність через торговельну політику, політику конкуренції, державну допомогу, підтримку малих та середніх підприємств тощо;</w:t>
      </w:r>
    </w:p>
    <w:p w14:paraId="723ED44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019902F" wp14:editId="7FBD30DD">
            <wp:extent cx="188595" cy="188595"/>
            <wp:effectExtent l="0" t="0" r="1905" b="1905"/>
            <wp:docPr id="229" name="Рисунок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рівень і темпи торговельної інтеграції країни з Європейським Союзом перед розширенням (мається на увазі як обсяг, так і структура торгівлі з країнами-членами);</w:t>
      </w:r>
    </w:p>
    <w:p w14:paraId="6F61F83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8088DAA" wp14:editId="1B2F8482">
            <wp:extent cx="188595" cy="188595"/>
            <wp:effectExtent l="0" t="0" r="1905" b="1905"/>
            <wp:docPr id="230" name="Рисунок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достатня частка малих фірм у структурі економіки, оскільки малі  фірми, як правило, отримують більшу вигоду від спрощеного доступу на ринок, а домінування великих фірм може означати більшу інертність у пристосуванні до умов ринку.</w:t>
      </w:r>
    </w:p>
    <w:p w14:paraId="1C7C22C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lastRenderedPageBreak/>
        <w:t>«КРИТЕРІЙ ЧЛЕНСТВА»</w:t>
      </w:r>
      <w:r w:rsidRPr="00733265">
        <w:rPr>
          <w:rFonts w:ascii="Noto Serif" w:eastAsia="Times New Roman" w:hAnsi="Noto Serif" w:cs="Noto Serif"/>
          <w:color w:val="000000"/>
          <w:kern w:val="0"/>
          <w:lang w:eastAsia="uk-UA"/>
          <w14:ligatures w14:val="none"/>
        </w:rPr>
        <w:t xml:space="preserve">  — є найважчим для виконання. Конкретизовано 31 критерій членства, кожен із яких  відповідає одному з 31 розділів </w:t>
      </w:r>
      <w:proofErr w:type="spellStart"/>
      <w:r w:rsidRPr="00733265">
        <w:rPr>
          <w:rFonts w:ascii="Noto Serif" w:eastAsia="Times New Roman" w:hAnsi="Noto Serif" w:cs="Noto Serif"/>
          <w:color w:val="000000"/>
          <w:kern w:val="0"/>
          <w:lang w:eastAsia="uk-UA"/>
          <w14:ligatures w14:val="none"/>
        </w:rPr>
        <w:t>acquis</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communautaire</w:t>
      </w:r>
      <w:proofErr w:type="spellEnd"/>
      <w:r w:rsidRPr="00733265">
        <w:rPr>
          <w:rFonts w:ascii="Noto Serif" w:eastAsia="Times New Roman" w:hAnsi="Noto Serif" w:cs="Noto Serif"/>
          <w:color w:val="000000"/>
          <w:kern w:val="0"/>
          <w:lang w:eastAsia="uk-UA"/>
          <w14:ligatures w14:val="none"/>
        </w:rPr>
        <w:t xml:space="preserve"> («спільного доробку ЄС»):</w:t>
      </w:r>
    </w:p>
    <w:p w14:paraId="614F338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8FB293A" wp14:editId="266939D0">
            <wp:extent cx="188595" cy="188595"/>
            <wp:effectExtent l="0" t="0" r="1905" b="1905"/>
            <wp:docPr id="231" name="Рисунок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Вільне переміщення товарів</w:t>
      </w:r>
    </w:p>
    <w:p w14:paraId="367909A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2DDBACB1" wp14:editId="5F7CCAC1">
            <wp:extent cx="188595" cy="188595"/>
            <wp:effectExtent l="0" t="0" r="1905" b="1905"/>
            <wp:docPr id="232" name="Рисунок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Вільне переміщення робочої сили</w:t>
      </w:r>
    </w:p>
    <w:p w14:paraId="5C74214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17B40C1" wp14:editId="00700283">
            <wp:extent cx="188595" cy="188595"/>
            <wp:effectExtent l="0" t="0" r="1905" b="1905"/>
            <wp:docPr id="233" name="Рисунок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Свобода у наданні послуг</w:t>
      </w:r>
    </w:p>
    <w:p w14:paraId="6E2EC52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41CF942" wp14:editId="4693567C">
            <wp:extent cx="188595" cy="188595"/>
            <wp:effectExtent l="0" t="0" r="1905" b="1905"/>
            <wp:docPr id="234" name="Рисунок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Вільне переміщення капіталів</w:t>
      </w:r>
    </w:p>
    <w:p w14:paraId="134DD01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D699B81" wp14:editId="777F7023">
            <wp:extent cx="188595" cy="188595"/>
            <wp:effectExtent l="0" t="0" r="1905" b="1905"/>
            <wp:docPr id="235" name="Рисунок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Законодавство про підприємства</w:t>
      </w:r>
    </w:p>
    <w:p w14:paraId="2B33FBD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EFDEB78" wp14:editId="1E3F4512">
            <wp:extent cx="188595" cy="188595"/>
            <wp:effectExtent l="0" t="0" r="1905" b="1905"/>
            <wp:docPr id="236" name="Рисунок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Конкурентна політика</w:t>
      </w:r>
    </w:p>
    <w:p w14:paraId="0451FF0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C497B5B" wp14:editId="2A0E5EA0">
            <wp:extent cx="188595" cy="188595"/>
            <wp:effectExtent l="0" t="0" r="1905" b="1905"/>
            <wp:docPr id="237" name="Рисунок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Сільське господарство</w:t>
      </w:r>
    </w:p>
    <w:p w14:paraId="58B1ED7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450F0AD" wp14:editId="302DDA71">
            <wp:extent cx="188595" cy="188595"/>
            <wp:effectExtent l="0" t="0" r="1905" b="1905"/>
            <wp:docPr id="238" name="Рисунок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Рибне господарство</w:t>
      </w:r>
    </w:p>
    <w:p w14:paraId="3CF0997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A21E05D" wp14:editId="30A93C48">
            <wp:extent cx="188595" cy="188595"/>
            <wp:effectExtent l="0" t="0" r="1905" b="1905"/>
            <wp:docPr id="239" name="Рисунок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Транспортна політика</w:t>
      </w:r>
    </w:p>
    <w:p w14:paraId="753D62B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77A7098" wp14:editId="5F3E5A46">
            <wp:extent cx="188595" cy="188595"/>
            <wp:effectExtent l="0" t="0" r="1905" b="1905"/>
            <wp:docPr id="240" name="Рисунок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Податкова політика</w:t>
      </w:r>
    </w:p>
    <w:p w14:paraId="4F02096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61A0E36" wp14:editId="60A02533">
            <wp:extent cx="188595" cy="188595"/>
            <wp:effectExtent l="0" t="0" r="1905" b="1905"/>
            <wp:docPr id="241" name="Рисунок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Економічний та Монетарний Союз</w:t>
      </w:r>
    </w:p>
    <w:p w14:paraId="1C2FDAB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AC011D5" wp14:editId="3578FF55">
            <wp:extent cx="188595" cy="188595"/>
            <wp:effectExtent l="0" t="0" r="1905" b="1905"/>
            <wp:docPr id="242" name="Рисунок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Статистика</w:t>
      </w:r>
    </w:p>
    <w:p w14:paraId="72E547B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DE82988" wp14:editId="4E8E3573">
            <wp:extent cx="188595" cy="188595"/>
            <wp:effectExtent l="0" t="0" r="1905" b="1905"/>
            <wp:docPr id="243" name="Рисунок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Соціальна політика та зайнятість</w:t>
      </w:r>
    </w:p>
    <w:p w14:paraId="60FDE12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0A55E1C" wp14:editId="23183024">
            <wp:extent cx="188595" cy="188595"/>
            <wp:effectExtent l="0" t="0" r="1905" b="1905"/>
            <wp:docPr id="244" name="Рисунок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Енергетика</w:t>
      </w:r>
    </w:p>
    <w:p w14:paraId="06B421C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1FB91FE" wp14:editId="5B1CB0F6">
            <wp:extent cx="188595" cy="188595"/>
            <wp:effectExtent l="0" t="0" r="1905" b="1905"/>
            <wp:docPr id="245" name="Рисунок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Промислова політика</w:t>
      </w:r>
    </w:p>
    <w:p w14:paraId="4780FCD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6BDB896" wp14:editId="675F4FEC">
            <wp:extent cx="188595" cy="188595"/>
            <wp:effectExtent l="0" t="0" r="1905" b="1905"/>
            <wp:docPr id="246" name="Рисунок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Малі та середні підприємства</w:t>
      </w:r>
    </w:p>
    <w:p w14:paraId="3A701E9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E89ED45" wp14:editId="1C60566C">
            <wp:extent cx="188595" cy="188595"/>
            <wp:effectExtent l="0" t="0" r="1905" b="1905"/>
            <wp:docPr id="247" name="Рисунок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Наука та дослідницька діяльність</w:t>
      </w:r>
    </w:p>
    <w:p w14:paraId="7A517A7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6E0255B" wp14:editId="5005EFC5">
            <wp:extent cx="188595" cy="188595"/>
            <wp:effectExtent l="0" t="0" r="1905" b="1905"/>
            <wp:docPr id="248" name="Рисунок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Освіта та навчання</w:t>
      </w:r>
    </w:p>
    <w:p w14:paraId="22D30BC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ECC3EFF" wp14:editId="4C997BBA">
            <wp:extent cx="188595" cy="188595"/>
            <wp:effectExtent l="0" t="0" r="1905" b="1905"/>
            <wp:docPr id="249" name="Рисунок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Телекомунікації</w:t>
      </w:r>
    </w:p>
    <w:p w14:paraId="1576C8B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72C662A" wp14:editId="3D5819B2">
            <wp:extent cx="188595" cy="188595"/>
            <wp:effectExtent l="0" t="0" r="1905" b="1905"/>
            <wp:docPr id="250" name="Рисунок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Політика у галузі культури та аудіовізуальному секторі</w:t>
      </w:r>
    </w:p>
    <w:p w14:paraId="08FE4FD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7DEA398" wp14:editId="3336E792">
            <wp:extent cx="188595" cy="188595"/>
            <wp:effectExtent l="0" t="0" r="1905" b="1905"/>
            <wp:docPr id="251" name="Рисунок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Регіональна політика</w:t>
      </w:r>
    </w:p>
    <w:p w14:paraId="1F4A02F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C5E8E80" wp14:editId="328DA2C3">
            <wp:extent cx="188595" cy="188595"/>
            <wp:effectExtent l="0" t="0" r="1905" b="1905"/>
            <wp:docPr id="252" name="Рисунок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Екологія</w:t>
      </w:r>
    </w:p>
    <w:p w14:paraId="75615E8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EA9D9A5" wp14:editId="550F81BB">
            <wp:extent cx="188595" cy="188595"/>
            <wp:effectExtent l="0" t="0" r="1905" b="1905"/>
            <wp:docPr id="253" name="Рисунок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Захист прав споживачів та охорони здоров’я</w:t>
      </w:r>
    </w:p>
    <w:p w14:paraId="3373565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EF0C743" wp14:editId="06193780">
            <wp:extent cx="188595" cy="188595"/>
            <wp:effectExtent l="0" t="0" r="1905" b="1905"/>
            <wp:docPr id="254" name="Рисунок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Юстиція та внутрішні справи</w:t>
      </w:r>
    </w:p>
    <w:p w14:paraId="6AC48C4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072DB08" wp14:editId="214977DB">
            <wp:extent cx="188595" cy="188595"/>
            <wp:effectExtent l="0" t="0" r="1905" b="1905"/>
            <wp:docPr id="255" name="Рисунок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Митний союз</w:t>
      </w:r>
    </w:p>
    <w:p w14:paraId="1146EBA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A87DE02" wp14:editId="695CB735">
            <wp:extent cx="188595" cy="188595"/>
            <wp:effectExtent l="0" t="0" r="1905" b="1905"/>
            <wp:docPr id="256" name="Рисунок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Зовнішні зносини</w:t>
      </w:r>
    </w:p>
    <w:p w14:paraId="68CBD17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24ED6D35" wp14:editId="438354E2">
            <wp:extent cx="188595" cy="188595"/>
            <wp:effectExtent l="0" t="0" r="1905" b="1905"/>
            <wp:docPr id="257" name="Рисунок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Спільна зовнішня політика та політика безпеки</w:t>
      </w:r>
    </w:p>
    <w:p w14:paraId="6E2FB3F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205C38A5" wp14:editId="0CF5E3EB">
            <wp:extent cx="188595" cy="188595"/>
            <wp:effectExtent l="0" t="0" r="1905" b="1905"/>
            <wp:docPr id="258" name="Рисунок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Зовнішня торгівля</w:t>
      </w:r>
    </w:p>
    <w:p w14:paraId="371826F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03556E8" wp14:editId="2953E663">
            <wp:extent cx="188595" cy="188595"/>
            <wp:effectExtent l="0" t="0" r="1905" b="1905"/>
            <wp:docPr id="259" name="Рисунок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Бюджет та фінансовий контроль</w:t>
      </w:r>
    </w:p>
    <w:p w14:paraId="349B543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2BA3138" wp14:editId="0BFEEF3D">
            <wp:extent cx="188595" cy="188595"/>
            <wp:effectExtent l="0" t="0" r="1905" b="1905"/>
            <wp:docPr id="260" name="Рисунок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Охорона прав інтелектуальної власності</w:t>
      </w:r>
    </w:p>
    <w:p w14:paraId="45FA288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E2CABFC" wp14:editId="22CEBE90">
            <wp:extent cx="188595" cy="188595"/>
            <wp:effectExtent l="0" t="0" r="1905" b="1905"/>
            <wp:docPr id="261" name="Рисунок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Відповідність стандартів промислової продукції</w:t>
      </w:r>
    </w:p>
    <w:p w14:paraId="28F0BFF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7025907" w14:textId="77777777" w:rsidR="00733265" w:rsidRPr="00733265" w:rsidRDefault="00733265" w:rsidP="00733265">
      <w:pPr>
        <w:spacing w:after="0" w:line="240" w:lineRule="auto"/>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ПОДАЛЬША ПРОЦЕДУРА ВСТУПУ ДО ЄС — </w:t>
      </w:r>
      <w:r w:rsidRPr="00733265">
        <w:rPr>
          <w:rFonts w:ascii="Noto Serif" w:eastAsia="Times New Roman" w:hAnsi="Noto Serif" w:cs="Noto Serif"/>
          <w:color w:val="000000"/>
          <w:kern w:val="0"/>
          <w:lang w:eastAsia="uk-UA"/>
          <w14:ligatures w14:val="none"/>
        </w:rPr>
        <w:t>пов’язана із послідовним подоланням </w:t>
      </w:r>
      <w:r w:rsidRPr="00733265">
        <w:rPr>
          <w:rFonts w:ascii="Noto Serif" w:eastAsia="Times New Roman" w:hAnsi="Noto Serif" w:cs="Noto Serif"/>
          <w:b/>
          <w:bCs/>
          <w:color w:val="000000"/>
          <w:kern w:val="0"/>
          <w:lang w:eastAsia="uk-UA"/>
          <w14:ligatures w14:val="none"/>
        </w:rPr>
        <w:t>П’ЯТИ </w:t>
      </w:r>
      <w:r w:rsidRPr="00733265">
        <w:rPr>
          <w:rFonts w:ascii="Noto Serif" w:eastAsia="Times New Roman" w:hAnsi="Noto Serif" w:cs="Noto Serif"/>
          <w:color w:val="000000"/>
          <w:kern w:val="0"/>
          <w:lang w:eastAsia="uk-UA"/>
          <w14:ligatures w14:val="none"/>
        </w:rPr>
        <w:t>основних етапів за умов того, що країна реалізує «копенгагенські критерії»:</w:t>
      </w:r>
    </w:p>
    <w:p w14:paraId="701E2EA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50F0464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u w:val="single"/>
          <w:lang w:eastAsia="uk-UA"/>
          <w14:ligatures w14:val="none"/>
        </w:rPr>
        <w:t>Перший етап</w:t>
      </w:r>
      <w:r w:rsidRPr="00733265">
        <w:rPr>
          <w:rFonts w:ascii="Noto Serif" w:eastAsia="Times New Roman" w:hAnsi="Noto Serif" w:cs="Noto Serif"/>
          <w:color w:val="000000"/>
          <w:kern w:val="0"/>
          <w:lang w:eastAsia="uk-UA"/>
          <w14:ligatures w14:val="none"/>
        </w:rPr>
        <w:t> — від подання країною-претендентом заяви про вступ до ЄС — і завершується її поданням. Досвід історії свідчить, що на цьому етапі країни-претенденти укладали такі типи асоціативних угод</w:t>
      </w:r>
      <w:bookmarkStart w:id="6" w:name="_ftnref41"/>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"https://uk.wikipedia.org/wiki/%D0%A3%D0%B3%D0%BE%D0%B4%D0%B0_%D0%BF%D1%80%D0%BE_%D0%B0%D1%81%D0%BE%D1%86%D1%96%D0%B0%D1%86%D1%96%D1%8E_%D0%B7_%D0%84%D0%B2%D1%80%D0%BE%D0%BF%D0%B5%D0%B9%D1%81%D1%8C%D0%BA%D0%B8%D0%BC_%D0%A1%D0%BE%D1%8E%D0%B7%D0%BE%D0%BC." \o "Читай детальніше тут: Угода про асоціацію з Європейським Союзом [Електронний ресурс]. — Режим доступу : https://uk.wikipedia.org/wiki/Угода_про_асоціацію_з_Європейським_Союзом.—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[41]</w:t>
      </w:r>
      <w:r w:rsidRPr="00733265">
        <w:rPr>
          <w:rFonts w:ascii="Noto Serif" w:eastAsia="Times New Roman" w:hAnsi="Noto Serif" w:cs="Noto Serif"/>
          <w:color w:val="000000"/>
          <w:kern w:val="0"/>
          <w:vertAlign w:val="superscript"/>
          <w:lang w:eastAsia="uk-UA"/>
          <w14:ligatures w14:val="none"/>
        </w:rPr>
        <w:fldChar w:fldCharType="end"/>
      </w:r>
      <w:bookmarkEnd w:id="6"/>
      <w:r w:rsidRPr="00733265">
        <w:rPr>
          <w:rFonts w:ascii="Noto Serif" w:eastAsia="Times New Roman" w:hAnsi="Noto Serif" w:cs="Noto Serif"/>
          <w:color w:val="000000"/>
          <w:kern w:val="0"/>
          <w:lang w:eastAsia="uk-UA"/>
          <w14:ligatures w14:val="none"/>
        </w:rPr>
        <w:t>:</w:t>
      </w:r>
    </w:p>
    <w:p w14:paraId="2CC4356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E41B20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lastRenderedPageBreak/>
        <w:drawing>
          <wp:inline distT="0" distB="0" distL="0" distR="0" wp14:anchorId="70714FE2" wp14:editId="46128C6F">
            <wp:extent cx="188595" cy="188595"/>
            <wp:effectExtent l="0" t="0" r="1905" b="1905"/>
            <wp:docPr id="262" name="Рисунок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w:t>
      </w: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59264" behindDoc="0" locked="0" layoutInCell="1" allowOverlap="0" wp14:anchorId="50A25790" wp14:editId="7F0615F6">
            <wp:simplePos x="0" y="0"/>
            <wp:positionH relativeFrom="column">
              <wp:align>left</wp:align>
            </wp:positionH>
            <wp:positionV relativeFrom="line">
              <wp:posOffset>0</wp:posOffset>
            </wp:positionV>
            <wp:extent cx="2095500" cy="1021168"/>
            <wp:effectExtent l="0" t="0" r="0" b="7620"/>
            <wp:wrapSquare wrapText="bothSides"/>
            <wp:docPr id="2122137167" name="Рисунок 3" descr="Штриховая стрелка вправо: 1. Етап консульта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триховая стрелка вправо: 1. Етап консультаці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021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b/>
          <w:bCs/>
          <w:color w:val="000000"/>
          <w:kern w:val="0"/>
          <w:lang w:eastAsia="uk-UA"/>
          <w14:ligatures w14:val="none"/>
        </w:rPr>
        <w:t>Європейську угоду</w:t>
      </w:r>
      <w:r w:rsidRPr="00733265">
        <w:rPr>
          <w:rFonts w:ascii="Noto Serif" w:eastAsia="Times New Roman" w:hAnsi="Noto Serif" w:cs="Noto Serif"/>
          <w:color w:val="000000"/>
          <w:kern w:val="0"/>
          <w:lang w:eastAsia="uk-UA"/>
          <w14:ligatures w14:val="none"/>
        </w:rPr>
        <w:t> (</w:t>
      </w:r>
      <w:proofErr w:type="spellStart"/>
      <w:r w:rsidRPr="00733265">
        <w:rPr>
          <w:rFonts w:ascii="Noto Serif" w:eastAsia="Times New Roman" w:hAnsi="Noto Serif" w:cs="Noto Serif"/>
          <w:i/>
          <w:iCs/>
          <w:color w:val="000000"/>
          <w:kern w:val="0"/>
          <w:lang w:eastAsia="uk-UA"/>
          <w14:ligatures w14:val="none"/>
        </w:rPr>
        <w:t>European</w:t>
      </w:r>
      <w:proofErr w:type="spellEnd"/>
      <w:r w:rsidRPr="00733265">
        <w:rPr>
          <w:rFonts w:ascii="Noto Serif" w:eastAsia="Times New Roman" w:hAnsi="Noto Serif" w:cs="Noto Serif"/>
          <w:i/>
          <w:iCs/>
          <w:color w:val="000000"/>
          <w:kern w:val="0"/>
          <w:lang w:eastAsia="uk-UA"/>
          <w14:ligatures w14:val="none"/>
        </w:rPr>
        <w:t xml:space="preserve"> </w:t>
      </w:r>
      <w:proofErr w:type="spellStart"/>
      <w:r w:rsidRPr="00733265">
        <w:rPr>
          <w:rFonts w:ascii="Noto Serif" w:eastAsia="Times New Roman" w:hAnsi="Noto Serif" w:cs="Noto Serif"/>
          <w:i/>
          <w:iCs/>
          <w:color w:val="000000"/>
          <w:kern w:val="0"/>
          <w:lang w:eastAsia="uk-UA"/>
          <w14:ligatures w14:val="none"/>
        </w:rPr>
        <w:t>Agreement</w:t>
      </w:r>
      <w:proofErr w:type="spellEnd"/>
      <w:r w:rsidRPr="00733265">
        <w:rPr>
          <w:rFonts w:ascii="Noto Serif" w:eastAsia="Times New Roman" w:hAnsi="Noto Serif" w:cs="Noto Serif"/>
          <w:color w:val="000000"/>
          <w:kern w:val="0"/>
          <w:lang w:eastAsia="uk-UA"/>
          <w14:ligatures w14:val="none"/>
        </w:rPr>
        <w:t>): Польща (1991), Угорщина (1991), Румунія (1993), Болгарія (1993), Чехія (1993), Словаччина (1993), Естонія (1995), Литва (1995), Латвія (1995), Словенія (1996).</w:t>
      </w:r>
    </w:p>
    <w:p w14:paraId="395832F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278578BA" wp14:editId="467542E0">
            <wp:extent cx="188595" cy="188595"/>
            <wp:effectExtent l="0" t="0" r="1905" b="1905"/>
            <wp:docPr id="263" name="Рисунок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w:t>
      </w:r>
      <w:r w:rsidRPr="00733265">
        <w:rPr>
          <w:rFonts w:ascii="Noto Serif" w:eastAsia="Times New Roman" w:hAnsi="Noto Serif" w:cs="Noto Serif"/>
          <w:b/>
          <w:bCs/>
          <w:color w:val="000000"/>
          <w:kern w:val="0"/>
          <w:lang w:eastAsia="uk-UA"/>
          <w14:ligatures w14:val="none"/>
        </w:rPr>
        <w:t> Угоду про асоціацію</w:t>
      </w:r>
      <w:r w:rsidRPr="00733265">
        <w:rPr>
          <w:rFonts w:ascii="Noto Serif" w:eastAsia="Times New Roman" w:hAnsi="Noto Serif" w:cs="Noto Serif"/>
          <w:color w:val="000000"/>
          <w:kern w:val="0"/>
          <w:lang w:eastAsia="uk-UA"/>
          <w14:ligatures w14:val="none"/>
        </w:rPr>
        <w:t> (</w:t>
      </w:r>
      <w:proofErr w:type="spellStart"/>
      <w:r w:rsidRPr="00733265">
        <w:rPr>
          <w:rFonts w:ascii="Noto Serif" w:eastAsia="Times New Roman" w:hAnsi="Noto Serif" w:cs="Noto Serif"/>
          <w:i/>
          <w:iCs/>
          <w:color w:val="000000"/>
          <w:kern w:val="0"/>
          <w:lang w:eastAsia="uk-UA"/>
          <w14:ligatures w14:val="none"/>
        </w:rPr>
        <w:t>Association</w:t>
      </w:r>
      <w:proofErr w:type="spellEnd"/>
      <w:r w:rsidRPr="00733265">
        <w:rPr>
          <w:rFonts w:ascii="Noto Serif" w:eastAsia="Times New Roman" w:hAnsi="Noto Serif" w:cs="Noto Serif"/>
          <w:i/>
          <w:iCs/>
          <w:color w:val="000000"/>
          <w:kern w:val="0"/>
          <w:lang w:eastAsia="uk-UA"/>
          <w14:ligatures w14:val="none"/>
        </w:rPr>
        <w:t xml:space="preserve"> </w:t>
      </w:r>
      <w:proofErr w:type="spellStart"/>
      <w:r w:rsidRPr="00733265">
        <w:rPr>
          <w:rFonts w:ascii="Noto Serif" w:eastAsia="Times New Roman" w:hAnsi="Noto Serif" w:cs="Noto Serif"/>
          <w:i/>
          <w:iCs/>
          <w:color w:val="000000"/>
          <w:kern w:val="0"/>
          <w:lang w:eastAsia="uk-UA"/>
          <w14:ligatures w14:val="none"/>
        </w:rPr>
        <w:t>Agreement</w:t>
      </w:r>
      <w:proofErr w:type="spellEnd"/>
      <w:r w:rsidRPr="00733265">
        <w:rPr>
          <w:rFonts w:ascii="Noto Serif" w:eastAsia="Times New Roman" w:hAnsi="Noto Serif" w:cs="Noto Serif"/>
          <w:color w:val="000000"/>
          <w:kern w:val="0"/>
          <w:lang w:eastAsia="uk-UA"/>
          <w14:ligatures w14:val="none"/>
        </w:rPr>
        <w:t>): Туреччина (1963), Мальта (1970),  Кіпр (1972).</w:t>
      </w:r>
    </w:p>
    <w:p w14:paraId="07A878B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B9353E8" wp14:editId="7E06BE86">
            <wp:extent cx="188595" cy="188595"/>
            <wp:effectExtent l="0" t="0" r="1905" b="1905"/>
            <wp:docPr id="264" name="Рисунок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w:t>
      </w:r>
      <w:r w:rsidRPr="00733265">
        <w:rPr>
          <w:rFonts w:ascii="Noto Serif" w:eastAsia="Times New Roman" w:hAnsi="Noto Serif" w:cs="Noto Serif"/>
          <w:b/>
          <w:bCs/>
          <w:color w:val="000000"/>
          <w:kern w:val="0"/>
          <w:lang w:eastAsia="uk-UA"/>
          <w14:ligatures w14:val="none"/>
        </w:rPr>
        <w:t> Угоду про стабілізацію і асоціацію</w:t>
      </w:r>
      <w:r w:rsidRPr="00733265">
        <w:rPr>
          <w:rFonts w:ascii="Noto Serif" w:eastAsia="Times New Roman" w:hAnsi="Noto Serif" w:cs="Noto Serif"/>
          <w:color w:val="000000"/>
          <w:kern w:val="0"/>
          <w:lang w:eastAsia="uk-UA"/>
          <w14:ligatures w14:val="none"/>
        </w:rPr>
        <w:t> (</w:t>
      </w:r>
      <w:proofErr w:type="spellStart"/>
      <w:r w:rsidRPr="00733265">
        <w:rPr>
          <w:rFonts w:ascii="Noto Serif" w:eastAsia="Times New Roman" w:hAnsi="Noto Serif" w:cs="Noto Serif"/>
          <w:i/>
          <w:iCs/>
          <w:color w:val="000000"/>
          <w:kern w:val="0"/>
          <w:lang w:eastAsia="uk-UA"/>
          <w14:ligatures w14:val="none"/>
        </w:rPr>
        <w:t>Stabilization</w:t>
      </w:r>
      <w:proofErr w:type="spellEnd"/>
      <w:r w:rsidRPr="00733265">
        <w:rPr>
          <w:rFonts w:ascii="Noto Serif" w:eastAsia="Times New Roman" w:hAnsi="Noto Serif" w:cs="Noto Serif"/>
          <w:i/>
          <w:iCs/>
          <w:color w:val="000000"/>
          <w:kern w:val="0"/>
          <w:lang w:eastAsia="uk-UA"/>
          <w14:ligatures w14:val="none"/>
        </w:rPr>
        <w:t xml:space="preserve"> </w:t>
      </w:r>
      <w:proofErr w:type="spellStart"/>
      <w:r w:rsidRPr="00733265">
        <w:rPr>
          <w:rFonts w:ascii="Noto Serif" w:eastAsia="Times New Roman" w:hAnsi="Noto Serif" w:cs="Noto Serif"/>
          <w:i/>
          <w:iCs/>
          <w:color w:val="000000"/>
          <w:kern w:val="0"/>
          <w:lang w:eastAsia="uk-UA"/>
          <w14:ligatures w14:val="none"/>
        </w:rPr>
        <w:t>and</w:t>
      </w:r>
      <w:proofErr w:type="spellEnd"/>
      <w:r w:rsidRPr="00733265">
        <w:rPr>
          <w:rFonts w:ascii="Noto Serif" w:eastAsia="Times New Roman" w:hAnsi="Noto Serif" w:cs="Noto Serif"/>
          <w:i/>
          <w:iCs/>
          <w:color w:val="000000"/>
          <w:kern w:val="0"/>
          <w:lang w:eastAsia="uk-UA"/>
          <w14:ligatures w14:val="none"/>
        </w:rPr>
        <w:t xml:space="preserve"> </w:t>
      </w:r>
      <w:proofErr w:type="spellStart"/>
      <w:r w:rsidRPr="00733265">
        <w:rPr>
          <w:rFonts w:ascii="Noto Serif" w:eastAsia="Times New Roman" w:hAnsi="Noto Serif" w:cs="Noto Serif"/>
          <w:i/>
          <w:iCs/>
          <w:color w:val="000000"/>
          <w:kern w:val="0"/>
          <w:lang w:eastAsia="uk-UA"/>
          <w14:ligatures w14:val="none"/>
        </w:rPr>
        <w:t>Association</w:t>
      </w:r>
      <w:proofErr w:type="spellEnd"/>
      <w:r w:rsidRPr="00733265">
        <w:rPr>
          <w:rFonts w:ascii="Noto Serif" w:eastAsia="Times New Roman" w:hAnsi="Noto Serif" w:cs="Noto Serif"/>
          <w:i/>
          <w:iCs/>
          <w:color w:val="000000"/>
          <w:kern w:val="0"/>
          <w:lang w:eastAsia="uk-UA"/>
          <w14:ligatures w14:val="none"/>
        </w:rPr>
        <w:t xml:space="preserve"> </w:t>
      </w:r>
      <w:proofErr w:type="spellStart"/>
      <w:r w:rsidRPr="00733265">
        <w:rPr>
          <w:rFonts w:ascii="Noto Serif" w:eastAsia="Times New Roman" w:hAnsi="Noto Serif" w:cs="Noto Serif"/>
          <w:i/>
          <w:iCs/>
          <w:color w:val="000000"/>
          <w:kern w:val="0"/>
          <w:lang w:eastAsia="uk-UA"/>
          <w14:ligatures w14:val="none"/>
        </w:rPr>
        <w:t>Agreemen</w:t>
      </w:r>
      <w:r w:rsidRPr="00733265">
        <w:rPr>
          <w:rFonts w:ascii="Noto Serif" w:eastAsia="Times New Roman" w:hAnsi="Noto Serif" w:cs="Noto Serif"/>
          <w:color w:val="000000"/>
          <w:kern w:val="0"/>
          <w:lang w:eastAsia="uk-UA"/>
          <w14:ligatures w14:val="none"/>
        </w:rPr>
        <w:t>t</w:t>
      </w:r>
      <w:proofErr w:type="spellEnd"/>
      <w:r w:rsidRPr="00733265">
        <w:rPr>
          <w:rFonts w:ascii="Noto Serif" w:eastAsia="Times New Roman" w:hAnsi="Noto Serif" w:cs="Noto Serif"/>
          <w:color w:val="000000"/>
          <w:kern w:val="0"/>
          <w:lang w:eastAsia="uk-UA"/>
          <w14:ligatures w14:val="none"/>
        </w:rPr>
        <w:t>). Такі угоди були підписані з балканськими країнами (крім Словенії, з якою підписано Європейську Угоду).  </w:t>
      </w:r>
    </w:p>
    <w:p w14:paraId="652BBA6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599BDF6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0288" behindDoc="0" locked="0" layoutInCell="1" allowOverlap="0" wp14:anchorId="63C81350" wp14:editId="0D99CEFD">
            <wp:simplePos x="0" y="0"/>
            <wp:positionH relativeFrom="column">
              <wp:align>left</wp:align>
            </wp:positionH>
            <wp:positionV relativeFrom="line">
              <wp:posOffset>0</wp:posOffset>
            </wp:positionV>
            <wp:extent cx="2095500" cy="1021168"/>
            <wp:effectExtent l="0" t="0" r="0" b="7620"/>
            <wp:wrapSquare wrapText="bothSides"/>
            <wp:docPr id="363267064" name="Рисунок 4" descr="Штриховая стрелка вправо: 2. Етап оці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триховая стрелка вправо: 2. Етап оцін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021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u w:val="single"/>
          <w:lang w:eastAsia="uk-UA"/>
          <w14:ligatures w14:val="none"/>
        </w:rPr>
        <w:t>Другий етап</w:t>
      </w:r>
      <w:r w:rsidRPr="00733265">
        <w:rPr>
          <w:rFonts w:ascii="Noto Serif" w:eastAsia="Times New Roman" w:hAnsi="Noto Serif" w:cs="Noto Serif"/>
          <w:color w:val="000000"/>
          <w:kern w:val="0"/>
          <w:lang w:eastAsia="uk-UA"/>
          <w14:ligatures w14:val="none"/>
        </w:rPr>
        <w:t> —  між поданням країною заяви про вступ та початком переговорів про вступ. На цьому етапі країни повинні намагатися виконати критерії членства в ЄС. Лише тоді країна офіційно стає кандидатом на вступ до ЄС.</w:t>
      </w:r>
    </w:p>
    <w:p w14:paraId="4BD683A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F84921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BE4D3E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1312" behindDoc="0" locked="0" layoutInCell="1" allowOverlap="0" wp14:anchorId="60A67B1A" wp14:editId="6DCD8150">
            <wp:simplePos x="0" y="0"/>
            <wp:positionH relativeFrom="column">
              <wp:align>left</wp:align>
            </wp:positionH>
            <wp:positionV relativeFrom="line">
              <wp:posOffset>0</wp:posOffset>
            </wp:positionV>
            <wp:extent cx="2095500" cy="1021168"/>
            <wp:effectExtent l="0" t="0" r="0" b="7620"/>
            <wp:wrapSquare wrapText="bothSides"/>
            <wp:docPr id="5" name="Рисунок 244" descr="Штриховая стрелка вправо: 3. Етап перегово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триховая стрелка вправо: 3. Етап переговорі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021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u w:val="single"/>
          <w:lang w:eastAsia="uk-UA"/>
          <w14:ligatures w14:val="none"/>
        </w:rPr>
        <w:t>Третій етап</w:t>
      </w:r>
      <w:r w:rsidRPr="00733265">
        <w:rPr>
          <w:rFonts w:ascii="Noto Serif" w:eastAsia="Times New Roman" w:hAnsi="Noto Serif" w:cs="Noto Serif"/>
          <w:color w:val="000000"/>
          <w:kern w:val="0"/>
          <w:lang w:eastAsia="uk-UA"/>
          <w14:ligatures w14:val="none"/>
        </w:rPr>
        <w:t> — від початку і до завершення переговорів про вступ. Визначаються умови приєднатися до ЄС країни-претендента, терміни прийняття. Переговори відбуваються у формі  двосторонніх конференцій між країнами-членами та кожною з країн-кандидатів за кожним із 31 розділів т. з. «спільного доробку ЄС» (</w:t>
      </w:r>
      <w:proofErr w:type="spellStart"/>
      <w:r w:rsidRPr="00733265">
        <w:rPr>
          <w:rFonts w:ascii="Noto Serif" w:eastAsia="Times New Roman" w:hAnsi="Noto Serif" w:cs="Noto Serif"/>
          <w:color w:val="000000"/>
          <w:kern w:val="0"/>
          <w:lang w:eastAsia="uk-UA"/>
          <w14:ligatures w14:val="none"/>
        </w:rPr>
        <w:t>acquis</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communautaire</w:t>
      </w:r>
      <w:proofErr w:type="spellEnd"/>
      <w:r w:rsidRPr="00733265">
        <w:rPr>
          <w:rFonts w:ascii="Noto Serif" w:eastAsia="Times New Roman" w:hAnsi="Noto Serif" w:cs="Noto Serif"/>
          <w:color w:val="000000"/>
          <w:kern w:val="0"/>
          <w:lang w:eastAsia="uk-UA"/>
          <w14:ligatures w14:val="none"/>
        </w:rPr>
        <w:t>)</w:t>
      </w:r>
      <w:bookmarkStart w:id="7" w:name="_ftnref42"/>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"https://multimedia.posibnyky.vntu.edu.ua/mm/Ukraine-EU/txt/04.html" \o "Важливою особливістю правопорядку Євросоюзу є те, що його основу становить концепція \«спільного доробку\» (acquis communautaire). Її значення полягає в тому, що вона гарантує гомогенність (тобто, ступінь подібності членів деякої сукупності між собою) правової системи Євросоюзу, базуючись на ідеї неможливості зміни його складових частин й цілісності цієї системи, а також на однаковому застосування права Євросоюзу в усіх державах-членах."</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[42]</w:t>
      </w:r>
      <w:r w:rsidRPr="00733265">
        <w:rPr>
          <w:rFonts w:ascii="Noto Serif" w:eastAsia="Times New Roman" w:hAnsi="Noto Serif" w:cs="Noto Serif"/>
          <w:color w:val="000000"/>
          <w:kern w:val="0"/>
          <w:vertAlign w:val="superscript"/>
          <w:lang w:eastAsia="uk-UA"/>
          <w14:ligatures w14:val="none"/>
        </w:rPr>
        <w:fldChar w:fldCharType="end"/>
      </w:r>
      <w:bookmarkEnd w:id="7"/>
      <w:r w:rsidRPr="00733265">
        <w:rPr>
          <w:rFonts w:ascii="Noto Serif" w:eastAsia="Times New Roman" w:hAnsi="Noto Serif" w:cs="Noto Serif"/>
          <w:color w:val="000000"/>
          <w:kern w:val="0"/>
          <w:lang w:eastAsia="uk-UA"/>
          <w14:ligatures w14:val="none"/>
        </w:rPr>
        <w:t>: конкурентна політика, транспортна політика, енергетика, податкова політика, митний союз, сільське господарство, юстиція і внутрішні справи, фінансова сфера, регіональна політика, бюджетні асигнування тощо. Результати переговорів включаються до проекту угоди про вступ країни-кандидата до Європейського Союзу.</w:t>
      </w:r>
    </w:p>
    <w:p w14:paraId="34A1CEB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E84D44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08D029F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2336" behindDoc="0" locked="0" layoutInCell="1" allowOverlap="0" wp14:anchorId="7FE6D757" wp14:editId="55E0196B">
            <wp:simplePos x="0" y="0"/>
            <wp:positionH relativeFrom="column">
              <wp:align>left</wp:align>
            </wp:positionH>
            <wp:positionV relativeFrom="line">
              <wp:posOffset>0</wp:posOffset>
            </wp:positionV>
            <wp:extent cx="2095500" cy="1013548"/>
            <wp:effectExtent l="0" t="0" r="0" b="0"/>
            <wp:wrapSquare wrapText="bothSides"/>
            <wp:docPr id="6" name="Рисунок 243" descr="Штриховая стрелка вправо: 4. Етап ратиф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триховая стрелка вправо: 4. Етап ратифікаці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013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u w:val="single"/>
          <w:lang w:eastAsia="uk-UA"/>
          <w14:ligatures w14:val="none"/>
        </w:rPr>
        <w:t>Четвертий етап</w:t>
      </w:r>
      <w:r w:rsidRPr="00733265">
        <w:rPr>
          <w:rFonts w:ascii="Noto Serif" w:eastAsia="Times New Roman" w:hAnsi="Noto Serif" w:cs="Noto Serif"/>
          <w:color w:val="000000"/>
          <w:kern w:val="0"/>
          <w:lang w:eastAsia="uk-UA"/>
          <w14:ligatures w14:val="none"/>
        </w:rPr>
        <w:t> — між підписанням угоди про вступ — до  її ратифікації. Перед підписанням угода повинна бути подана до Європейської Ради для схвалення та до Європейського Парламенту для надання згоди. Після підписання угода про вступ подається до країн-членів ЄС і країн-кандидатів для ратифікації та прийняття країнами-кандидатами рішення про вступ, зазвичай,  через процедуру референдуму.</w:t>
      </w:r>
    </w:p>
    <w:p w14:paraId="34E6CCD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Але  навіть позитивні переговори ще не означають гарантії  вступу країни до ЄС.</w:t>
      </w:r>
    </w:p>
    <w:p w14:paraId="154CFAF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545C68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Наприклад, Туреччина веде офіційні перемовини щодо повноправного членства з Євросоюзом більше 50 років. Утім, процес турецької інтеграції до ЄС не закінчується. Експерти вважають, що Туреччині знадобиться ще як мінімум п’ять років перш, ніж вона стане повноправним членом. 2020 рік розглядається як найбільш реалістичний для вступу. До того часу Анкара повинна схвалити 80 тисяч сторінок європейських норм і законів.</w:t>
      </w:r>
      <w:r w:rsidRPr="00733265">
        <w:rPr>
          <w:rFonts w:ascii="Noto Serif" w:eastAsia="Times New Roman" w:hAnsi="Noto Serif" w:cs="Noto Serif"/>
          <w:color w:val="000000"/>
          <w:kern w:val="0"/>
          <w:lang w:eastAsia="uk-UA"/>
          <w14:ligatures w14:val="none"/>
        </w:rPr>
        <w:br/>
        <w:t xml:space="preserve">      Але чи існують якісь гарантії стосовно того, що Туреччина стане членом ЄС? Жодних. ЄС характеризує переговори з турками так — «необмежений у часі процес, результат якого не може бути гарантований наперед». У Європі є чимало політиків, які вважають турецьке членство в ЄС не найкращим варіантом. Навіть якщо переговори про членство будуть успішно завершені, Франція і Австрія заявили, що проведуть референдуми, на яких буде визначатися доля договору про включення Туреччини до Союзу. Якщо хоча б одна з 28 країн скаже «ні», Туреччина до ЄС не приєднається. Найбільш поширений аргумент стосовно неприйнятності турецького членства — Туреччина не зовсім «європейська» в культурному </w:t>
      </w:r>
      <w:r w:rsidRPr="00733265">
        <w:rPr>
          <w:rFonts w:ascii="Noto Serif" w:eastAsia="Times New Roman" w:hAnsi="Noto Serif" w:cs="Noto Serif"/>
          <w:color w:val="000000"/>
          <w:kern w:val="0"/>
          <w:lang w:eastAsia="uk-UA"/>
          <w14:ligatures w14:val="none"/>
        </w:rPr>
        <w:lastRenderedPageBreak/>
        <w:t xml:space="preserve">розумінні, плюс нерозв’язане болюче «курдське питання». Інший — турецькі іммігранти заполонять решту країн ЄС. Третя причина полягає в тому, що Туреччина — надто велика, а тому </w:t>
      </w:r>
      <w:proofErr w:type="spellStart"/>
      <w:r w:rsidRPr="00733265">
        <w:rPr>
          <w:rFonts w:ascii="Noto Serif" w:eastAsia="Times New Roman" w:hAnsi="Noto Serif" w:cs="Noto Serif"/>
          <w:color w:val="000000"/>
          <w:kern w:val="0"/>
          <w:lang w:eastAsia="uk-UA"/>
          <w14:ligatures w14:val="none"/>
        </w:rPr>
        <w:t>перебере</w:t>
      </w:r>
      <w:proofErr w:type="spellEnd"/>
      <w:r w:rsidRPr="00733265">
        <w:rPr>
          <w:rFonts w:ascii="Noto Serif" w:eastAsia="Times New Roman" w:hAnsi="Noto Serif" w:cs="Noto Serif"/>
          <w:color w:val="000000"/>
          <w:kern w:val="0"/>
          <w:lang w:eastAsia="uk-UA"/>
          <w14:ligatures w14:val="none"/>
        </w:rPr>
        <w:t xml:space="preserve"> на себе дуже багато влади у спільних інституціях ЄС. Четверта — ця країна надто бідна, а тому турецький вступ може вдарити по кишені європейського платника податків.</w:t>
      </w:r>
    </w:p>
    <w:p w14:paraId="20DE043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0055277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5DD71C5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3360" behindDoc="0" locked="0" layoutInCell="1" allowOverlap="0" wp14:anchorId="113BFE9B" wp14:editId="45A346E4">
            <wp:simplePos x="0" y="0"/>
            <wp:positionH relativeFrom="column">
              <wp:align>left</wp:align>
            </wp:positionH>
            <wp:positionV relativeFrom="line">
              <wp:posOffset>0</wp:posOffset>
            </wp:positionV>
            <wp:extent cx="2095500" cy="1021168"/>
            <wp:effectExtent l="0" t="0" r="0" b="7620"/>
            <wp:wrapSquare wrapText="bothSides"/>
            <wp:docPr id="7" name="Рисунок 242" descr="Штриховая стрелка вправо: 5. Етап імплемент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триховая стрелка вправо: 5. Етап імплемента-ції"/>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021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u w:val="single"/>
          <w:lang w:eastAsia="uk-UA"/>
          <w14:ligatures w14:val="none"/>
        </w:rPr>
        <w:t>П’ятий етап</w:t>
      </w:r>
      <w:r w:rsidRPr="00733265">
        <w:rPr>
          <w:rFonts w:ascii="Noto Serif" w:eastAsia="Times New Roman" w:hAnsi="Noto Serif" w:cs="Noto Serif"/>
          <w:color w:val="000000"/>
          <w:kern w:val="0"/>
          <w:lang w:eastAsia="uk-UA"/>
          <w14:ligatures w14:val="none"/>
        </w:rPr>
        <w:t> — розпочинається після виконання усіх ратифікаційних процедур та набуття угодою чинності.</w:t>
      </w:r>
    </w:p>
    <w:p w14:paraId="20677DA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Лише після цього країна стає повноправним членом Європейського Союзу.</w:t>
      </w:r>
    </w:p>
    <w:p w14:paraId="3D4CCA3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i/>
          <w:iCs/>
          <w:color w:val="000000"/>
          <w:kern w:val="0"/>
          <w:lang w:eastAsia="uk-UA"/>
          <w14:ligatures w14:val="none"/>
        </w:rPr>
        <w:t> </w:t>
      </w:r>
    </w:p>
    <w:p w14:paraId="45F733B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787DE1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260777D" w14:textId="77777777" w:rsidR="00733265" w:rsidRPr="00733265" w:rsidRDefault="00733265" w:rsidP="00733265">
      <w:pPr>
        <w:spacing w:after="0" w:line="240" w:lineRule="auto"/>
        <w:jc w:val="center"/>
        <w:outlineLvl w:val="5"/>
        <w:rPr>
          <w:rFonts w:ascii="Ubuntu Condensed" w:eastAsia="Times New Roman" w:hAnsi="Ubuntu Condensed" w:cs="Noto Serif"/>
          <w:b/>
          <w:bCs/>
          <w:color w:val="000000"/>
          <w:kern w:val="0"/>
          <w:sz w:val="26"/>
          <w:szCs w:val="26"/>
          <w:lang w:eastAsia="uk-UA"/>
          <w14:ligatures w14:val="none"/>
        </w:rPr>
      </w:pPr>
      <w:r w:rsidRPr="00733265">
        <w:rPr>
          <w:rFonts w:ascii="Noto Serif" w:eastAsia="Times New Roman" w:hAnsi="Noto Serif" w:cs="Noto Serif"/>
          <w:b/>
          <w:bCs/>
          <w:i/>
          <w:iCs/>
          <w:color w:val="000000"/>
          <w:kern w:val="0"/>
          <w:sz w:val="26"/>
          <w:szCs w:val="26"/>
          <w:lang w:eastAsia="uk-UA"/>
          <w14:ligatures w14:val="none"/>
        </w:rPr>
        <w:t>4.3 ПОЛІТИКА ЄС ЩОДО УКРАЇНИ</w:t>
      </w:r>
    </w:p>
    <w:p w14:paraId="79D4F3C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9987BB1" w14:textId="77777777" w:rsidR="00733265" w:rsidRPr="00733265" w:rsidRDefault="00733265" w:rsidP="00733265">
      <w:pPr>
        <w:spacing w:after="0" w:line="240" w:lineRule="auto"/>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УКРАЇНА ПОЗИЦІОНУЄТЬСЯ ЄВРОПЕЙСЬКИМ СОЮЗОМ</w:t>
      </w:r>
      <w:r w:rsidRPr="00733265">
        <w:rPr>
          <w:rFonts w:ascii="Noto Serif" w:eastAsia="Times New Roman" w:hAnsi="Noto Serif" w:cs="Noto Serif"/>
          <w:color w:val="000000"/>
          <w:kern w:val="0"/>
          <w:lang w:eastAsia="uk-UA"/>
          <w14:ligatures w14:val="none"/>
        </w:rPr>
        <w:t> в якості однієї із ключових держав Східної Європи. Як подальший етап інтеграції між Євросоюзом та східноєвропейськими країнами  розглядається так зване «Східне партнерство». Модель розвитку відносин між ЄС та Україною Європейський Союз запропоновано в якості зразка для інших країн-реципієнтів ініціативи (Азербайджану, Білорусі, Вірменії, Грузії та Молдови).</w:t>
      </w:r>
    </w:p>
    <w:p w14:paraId="69CE3F3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85D16CD"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drawing>
          <wp:inline distT="0" distB="0" distL="0" distR="0" wp14:anchorId="23E376B7" wp14:editId="684E14CF">
            <wp:extent cx="3249930" cy="1868805"/>
            <wp:effectExtent l="0" t="0" r="7620" b="0"/>
            <wp:docPr id="26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930" cy="1868805"/>
                    </a:xfrm>
                    <a:prstGeom prst="rect">
                      <a:avLst/>
                    </a:prstGeom>
                    <a:noFill/>
                    <a:ln>
                      <a:noFill/>
                    </a:ln>
                  </pic:spPr>
                </pic:pic>
              </a:graphicData>
            </a:graphic>
          </wp:inline>
        </w:drawing>
      </w:r>
    </w:p>
    <w:p w14:paraId="164071D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 зовнішньополітична ініціатива Європейського Союзу, яка поширюється на шість східноєвропейських сусідів Євросоюзу – Азербайджан, Білорусь, Вірменію, Грузію, Молдову та Україну. Ініціативу формально започатковано на Празькому установчому саміті Східного партнерства </w:t>
      </w:r>
      <w:r w:rsidRPr="00733265">
        <w:rPr>
          <w:rFonts w:ascii="Noto Serif" w:eastAsia="Times New Roman" w:hAnsi="Noto Serif" w:cs="Noto Serif"/>
          <w:b/>
          <w:bCs/>
          <w:color w:val="000000"/>
          <w:kern w:val="0"/>
          <w:lang w:eastAsia="uk-UA"/>
          <w14:ligatures w14:val="none"/>
        </w:rPr>
        <w:t>7 травня 2009 р</w:t>
      </w:r>
      <w:r w:rsidRPr="00733265">
        <w:rPr>
          <w:rFonts w:ascii="Noto Serif" w:eastAsia="Times New Roman" w:hAnsi="Noto Serif" w:cs="Noto Serif"/>
          <w:color w:val="000000"/>
          <w:kern w:val="0"/>
          <w:lang w:eastAsia="uk-UA"/>
          <w14:ligatures w14:val="none"/>
        </w:rPr>
        <w:t>.</w:t>
      </w:r>
    </w:p>
    <w:p w14:paraId="415B335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 Мета:</w:t>
      </w:r>
      <w:r w:rsidRPr="00733265">
        <w:rPr>
          <w:rFonts w:ascii="Noto Serif" w:eastAsia="Times New Roman" w:hAnsi="Noto Serif" w:cs="Noto Serif"/>
          <w:color w:val="000000"/>
          <w:kern w:val="0"/>
          <w:lang w:eastAsia="uk-UA"/>
          <w14:ligatures w14:val="none"/>
        </w:rPr>
        <w:t>  можливість оновлення договірно-правової бази відносин ЄС зі східними сусідами шляхом заміни чинних угод про партнерство та співробітництво на угоди про асоціацію, створення поглиблених та всеохоплюючих зон вільної торгівлі (ЗВТ), лібералізацію візового режиму між ЄС та державами-партнерами тощо</w:t>
      </w:r>
      <w:bookmarkStart w:id="8" w:name="_ftnref43"/>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"http://ukraine-eu.mfa.gov.ua/ua/ukraine-eu/eu-policy/east-partnership." \o "Детальніше: Східне партнерство [Електронний ресурс]. — Режим доступу : http://ukraine-eu.mfa.gov.ua/ua/ukraine-eu/eu-policy/east-partnership. —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[43]</w:t>
      </w:r>
      <w:r w:rsidRPr="00733265">
        <w:rPr>
          <w:rFonts w:ascii="Noto Serif" w:eastAsia="Times New Roman" w:hAnsi="Noto Serif" w:cs="Noto Serif"/>
          <w:color w:val="000000"/>
          <w:kern w:val="0"/>
          <w:vertAlign w:val="superscript"/>
          <w:lang w:eastAsia="uk-UA"/>
          <w14:ligatures w14:val="none"/>
        </w:rPr>
        <w:fldChar w:fldCharType="end"/>
      </w:r>
      <w:bookmarkEnd w:id="8"/>
      <w:r w:rsidRPr="00733265">
        <w:rPr>
          <w:rFonts w:ascii="Noto Serif" w:eastAsia="Times New Roman" w:hAnsi="Noto Serif" w:cs="Noto Serif"/>
          <w:color w:val="000000"/>
          <w:kern w:val="0"/>
          <w:lang w:eastAsia="uk-UA"/>
          <w14:ligatures w14:val="none"/>
        </w:rPr>
        <w:t>.</w:t>
      </w:r>
    </w:p>
    <w:p w14:paraId="62CE922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9CB0AA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D63E8D4"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lastRenderedPageBreak/>
        <w:drawing>
          <wp:inline distT="0" distB="0" distL="0" distR="0" wp14:anchorId="16812A3C" wp14:editId="743DFBE3">
            <wp:extent cx="7116445" cy="10853420"/>
            <wp:effectExtent l="0" t="0" r="8255" b="5080"/>
            <wp:docPr id="266"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6445" cy="10853420"/>
                    </a:xfrm>
                    <a:prstGeom prst="rect">
                      <a:avLst/>
                    </a:prstGeom>
                    <a:noFill/>
                    <a:ln>
                      <a:noFill/>
                    </a:ln>
                  </pic:spPr>
                </pic:pic>
              </a:graphicData>
            </a:graphic>
          </wp:inline>
        </w:drawing>
      </w:r>
    </w:p>
    <w:p w14:paraId="2CE7F02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lastRenderedPageBreak/>
        <w:t> </w:t>
      </w:r>
    </w:p>
    <w:p w14:paraId="58F4A145"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Рис. 4.2 Допомога ЄС Україні</w:t>
      </w:r>
      <w:bookmarkStart w:id="9" w:name="_ftnref44"/>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"http://ukraine-eu.mfa.gov.ua/ua/ukraine-eu/eu-policy/assistance." \o "Детальніше: Допомога ЄС Україні [Електронний ресурс]. — Режим доступу : http://ukraine-eu.mfa.gov.ua/ua/ukraine-eu/eu-policy/assistance. —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[44]</w:t>
      </w:r>
      <w:r w:rsidRPr="00733265">
        <w:rPr>
          <w:rFonts w:ascii="Noto Serif" w:eastAsia="Times New Roman" w:hAnsi="Noto Serif" w:cs="Noto Serif"/>
          <w:color w:val="000000"/>
          <w:kern w:val="0"/>
          <w:vertAlign w:val="superscript"/>
          <w:lang w:eastAsia="uk-UA"/>
          <w14:ligatures w14:val="none"/>
        </w:rPr>
        <w:fldChar w:fldCharType="end"/>
      </w:r>
      <w:bookmarkEnd w:id="9"/>
    </w:p>
    <w:p w14:paraId="3BDBA82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4CE18E9"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drawing>
          <wp:inline distT="0" distB="0" distL="0" distR="0" wp14:anchorId="08F5273C" wp14:editId="3FEECE56">
            <wp:extent cx="3249930" cy="1868805"/>
            <wp:effectExtent l="0" t="0" r="7620" b="0"/>
            <wp:docPr id="26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9930" cy="1868805"/>
                    </a:xfrm>
                    <a:prstGeom prst="rect">
                      <a:avLst/>
                    </a:prstGeom>
                    <a:noFill/>
                    <a:ln>
                      <a:noFill/>
                    </a:ln>
                  </pic:spPr>
                </pic:pic>
              </a:graphicData>
            </a:graphic>
          </wp:inline>
        </w:drawing>
      </w:r>
    </w:p>
    <w:p w14:paraId="219E867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 дає змогу перейти </w:t>
      </w:r>
      <w:r w:rsidRPr="00733265">
        <w:rPr>
          <w:rFonts w:ascii="Noto Serif" w:eastAsia="Times New Roman" w:hAnsi="Noto Serif" w:cs="Noto Serif"/>
          <w:b/>
          <w:bCs/>
          <w:color w:val="000000"/>
          <w:kern w:val="0"/>
          <w:lang w:eastAsia="uk-UA"/>
          <w14:ligatures w14:val="none"/>
        </w:rPr>
        <w:t>від партнерства і співробітництва до політичної асоціації та економічної інтеграції</w:t>
      </w:r>
      <w:bookmarkStart w:id="10" w:name="_ftnref45"/>
      <w:r w:rsidRPr="00733265">
        <w:rPr>
          <w:rFonts w:ascii="Noto Serif" w:eastAsia="Times New Roman" w:hAnsi="Noto Serif" w:cs="Noto Serif"/>
          <w:b/>
          <w:bCs/>
          <w:color w:val="000000"/>
          <w:kern w:val="0"/>
          <w:vertAlign w:val="superscript"/>
          <w:lang w:eastAsia="uk-UA"/>
          <w14:ligatures w14:val="none"/>
        </w:rPr>
        <w:fldChar w:fldCharType="begin"/>
      </w:r>
      <w:r w:rsidRPr="00733265">
        <w:rPr>
          <w:rFonts w:ascii="Noto Serif" w:eastAsia="Times New Roman" w:hAnsi="Noto Serif" w:cs="Noto Serif"/>
          <w:b/>
          <w:bCs/>
          <w:color w:val="000000"/>
          <w:kern w:val="0"/>
          <w:vertAlign w:val="superscript"/>
          <w:lang w:eastAsia="uk-UA"/>
          <w14:ligatures w14:val="none"/>
        </w:rPr>
        <w:instrText>HYPERLINK "http://www.kmu.gov.ua/control/uk/publish/article?art_id=248387631" \o "Текст Угоди про асоціацію між Україною і ЄС див. : http://www.kmu.gov.ua/control/uk/publish/article?art_id=248387631."</w:instrText>
      </w:r>
      <w:r w:rsidRPr="00733265">
        <w:rPr>
          <w:rFonts w:ascii="Noto Serif" w:eastAsia="Times New Roman" w:hAnsi="Noto Serif" w:cs="Noto Serif"/>
          <w:b/>
          <w:bCs/>
          <w:color w:val="000000"/>
          <w:kern w:val="0"/>
          <w:vertAlign w:val="superscript"/>
          <w:lang w:eastAsia="uk-UA"/>
          <w14:ligatures w14:val="none"/>
        </w:rPr>
      </w:r>
      <w:r w:rsidRPr="00733265">
        <w:rPr>
          <w:rFonts w:ascii="Noto Serif" w:eastAsia="Times New Roman" w:hAnsi="Noto Serif" w:cs="Noto Serif"/>
          <w:b/>
          <w:bCs/>
          <w:color w:val="000000"/>
          <w:kern w:val="0"/>
          <w:vertAlign w:val="superscript"/>
          <w:lang w:eastAsia="uk-UA"/>
          <w14:ligatures w14:val="none"/>
        </w:rPr>
        <w:fldChar w:fldCharType="separate"/>
      </w:r>
      <w:r w:rsidRPr="00733265">
        <w:rPr>
          <w:rFonts w:ascii="Noto Serif" w:eastAsia="Times New Roman" w:hAnsi="Noto Serif" w:cs="Noto Serif"/>
          <w:b/>
          <w:bCs/>
          <w:color w:val="0000FF"/>
          <w:kern w:val="0"/>
          <w:u w:val="single"/>
          <w:vertAlign w:val="superscript"/>
          <w:lang w:eastAsia="uk-UA"/>
          <w14:ligatures w14:val="none"/>
        </w:rPr>
        <w:t>[45]</w:t>
      </w:r>
      <w:r w:rsidRPr="00733265">
        <w:rPr>
          <w:rFonts w:ascii="Noto Serif" w:eastAsia="Times New Roman" w:hAnsi="Noto Serif" w:cs="Noto Serif"/>
          <w:b/>
          <w:bCs/>
          <w:color w:val="000000"/>
          <w:kern w:val="0"/>
          <w:vertAlign w:val="superscript"/>
          <w:lang w:eastAsia="uk-UA"/>
          <w14:ligatures w14:val="none"/>
        </w:rPr>
        <w:fldChar w:fldCharType="end"/>
      </w:r>
      <w:bookmarkEnd w:id="10"/>
      <w:r w:rsidRPr="00733265">
        <w:rPr>
          <w:rFonts w:ascii="Noto Serif" w:eastAsia="Times New Roman" w:hAnsi="Noto Serif" w:cs="Noto Serif"/>
          <w:b/>
          <w:bCs/>
          <w:color w:val="000000"/>
          <w:kern w:val="0"/>
          <w:lang w:eastAsia="uk-UA"/>
          <w14:ligatures w14:val="none"/>
        </w:rPr>
        <w:t>,</w:t>
      </w:r>
      <w:r w:rsidRPr="00733265">
        <w:rPr>
          <w:rFonts w:ascii="Noto Serif" w:eastAsia="Times New Roman" w:hAnsi="Noto Serif" w:cs="Noto Serif"/>
          <w:color w:val="000000"/>
          <w:kern w:val="0"/>
          <w:lang w:eastAsia="uk-UA"/>
          <w14:ligatures w14:val="none"/>
        </w:rPr>
        <w:t> відкриває для українського бізнесу можливість вийти за рамки внутрішнього виробника і стати частиною європейської бізнес-спільноти.</w:t>
      </w:r>
    </w:p>
    <w:p w14:paraId="5998C184"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i/>
          <w:iCs/>
          <w:color w:val="000000"/>
          <w:kern w:val="0"/>
          <w:lang w:eastAsia="uk-UA"/>
          <w14:ligatures w14:val="none"/>
        </w:rPr>
        <w:t>Підготовлена:</w:t>
      </w:r>
      <w:r w:rsidRPr="00733265">
        <w:rPr>
          <w:rFonts w:ascii="Noto Serif" w:eastAsia="Times New Roman" w:hAnsi="Noto Serif" w:cs="Noto Serif"/>
          <w:color w:val="000000"/>
          <w:kern w:val="0"/>
          <w:lang w:eastAsia="uk-UA"/>
          <w14:ligatures w14:val="none"/>
        </w:rPr>
        <w:t> 30 березня 2012 р.</w:t>
      </w:r>
    </w:p>
    <w:p w14:paraId="5444D9B1"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i/>
          <w:iCs/>
          <w:color w:val="000000"/>
          <w:kern w:val="0"/>
          <w:lang w:eastAsia="uk-UA"/>
          <w14:ligatures w14:val="none"/>
        </w:rPr>
        <w:t>Підписана:</w:t>
      </w:r>
      <w:r w:rsidRPr="00733265">
        <w:rPr>
          <w:rFonts w:ascii="Noto Serif" w:eastAsia="Times New Roman" w:hAnsi="Noto Serif" w:cs="Noto Serif"/>
          <w:color w:val="000000"/>
          <w:kern w:val="0"/>
          <w:lang w:eastAsia="uk-UA"/>
          <w14:ligatures w14:val="none"/>
        </w:rPr>
        <w:t> Частина І — </w:t>
      </w:r>
      <w:r w:rsidRPr="00733265">
        <w:rPr>
          <w:rFonts w:ascii="Noto Serif" w:eastAsia="Times New Roman" w:hAnsi="Noto Serif" w:cs="Noto Serif"/>
          <w:b/>
          <w:bCs/>
          <w:color w:val="000000"/>
          <w:kern w:val="0"/>
          <w:lang w:eastAsia="uk-UA"/>
          <w14:ligatures w14:val="none"/>
        </w:rPr>
        <w:t>21 БЕРЕЗНЯ 2014</w:t>
      </w:r>
      <w:r w:rsidRPr="00733265">
        <w:rPr>
          <w:rFonts w:ascii="Noto Serif" w:eastAsia="Times New Roman" w:hAnsi="Noto Serif" w:cs="Noto Serif"/>
          <w:color w:val="000000"/>
          <w:kern w:val="0"/>
          <w:lang w:eastAsia="uk-UA"/>
          <w14:ligatures w14:val="none"/>
        </w:rPr>
        <w:t>;</w:t>
      </w:r>
    </w:p>
    <w:p w14:paraId="706034FD"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Частина ІІ — </w:t>
      </w:r>
      <w:r w:rsidRPr="00733265">
        <w:rPr>
          <w:rFonts w:ascii="Noto Serif" w:eastAsia="Times New Roman" w:hAnsi="Noto Serif" w:cs="Noto Serif"/>
          <w:b/>
          <w:bCs/>
          <w:color w:val="000000"/>
          <w:kern w:val="0"/>
          <w:lang w:eastAsia="uk-UA"/>
          <w14:ligatures w14:val="none"/>
        </w:rPr>
        <w:t>27 ЧЕРВНЯ 2014</w:t>
      </w:r>
      <w:r w:rsidRPr="00733265">
        <w:rPr>
          <w:rFonts w:ascii="Noto Serif" w:eastAsia="Times New Roman" w:hAnsi="Noto Serif" w:cs="Noto Serif"/>
          <w:color w:val="000000"/>
          <w:kern w:val="0"/>
          <w:lang w:eastAsia="uk-UA"/>
          <w14:ligatures w14:val="none"/>
        </w:rPr>
        <w:t>  (Брюссель, Бельгія).  </w:t>
      </w:r>
    </w:p>
    <w:p w14:paraId="35DDB802"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5E9065C"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drawing>
          <wp:inline distT="0" distB="0" distL="0" distR="0" wp14:anchorId="476E9328" wp14:editId="78103E2B">
            <wp:extent cx="4333240" cy="2047240"/>
            <wp:effectExtent l="0" t="0" r="0" b="0"/>
            <wp:docPr id="268" name="Рисунок 182" descr="Diagram-01_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iagram-01_1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240" cy="2047240"/>
                    </a:xfrm>
                    <a:prstGeom prst="rect">
                      <a:avLst/>
                    </a:prstGeom>
                    <a:noFill/>
                    <a:ln>
                      <a:noFill/>
                    </a:ln>
                  </pic:spPr>
                </pic:pic>
              </a:graphicData>
            </a:graphic>
          </wp:inline>
        </w:drawing>
      </w:r>
    </w:p>
    <w:p w14:paraId="27A5C4E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Рис. 4.3 Загальна структура Угоди про асоціацію між Україною та ЄС</w:t>
      </w:r>
    </w:p>
    <w:p w14:paraId="1D7F7E5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F1F1185"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lastRenderedPageBreak/>
        <mc:AlternateContent>
          <mc:Choice Requires="wps">
            <w:drawing>
              <wp:inline distT="0" distB="0" distL="0" distR="0" wp14:anchorId="222DF341" wp14:editId="57D9D35D">
                <wp:extent cx="12682220" cy="12682220"/>
                <wp:effectExtent l="0" t="0" r="0" b="0"/>
                <wp:docPr id="1140298628" name="AutoShape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82220" cy="1268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F252C" id="AutoShape 269" o:spid="_x0000_s1026" style="width:998.6pt;height:9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" filled="f" stroked="f">
                <o:lock v:ext="edit" aspectratio="t"/>
                <w10:anchorlock/>
              </v:rect>
            </w:pict>
          </mc:Fallback>
        </mc:AlternateContent>
      </w:r>
    </w:p>
    <w:p w14:paraId="25EFF874"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lastRenderedPageBreak/>
        <w:t>Преамбула та РОЗДІЛ I «Загальні цілі та принципи»,</w:t>
      </w:r>
      <w:r w:rsidRPr="00733265">
        <w:rPr>
          <w:rFonts w:ascii="Noto Serif" w:eastAsia="Times New Roman" w:hAnsi="Noto Serif" w:cs="Noto Serif"/>
          <w:b/>
          <w:bCs/>
          <w:color w:val="0000FF"/>
          <w:kern w:val="0"/>
          <w:lang w:eastAsia="uk-UA"/>
          <w14:ligatures w14:val="none"/>
        </w:rPr>
        <w:br/>
        <w:t>Ст.1-3</w:t>
      </w:r>
    </w:p>
    <w:p w14:paraId="021B4B84"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C2CC47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окреслюється підґрунтя, яке існує сьогодні для укладення Угоди про асоціацію між Україною та ЄС, зокрема визнання з боку ЄС європейського вибору та європейських прагнень України як європейської країни, що поділяє з ЄС спільну історію і спільні цінності, а також визначені цілі Угоди, серед яких — створення асоціації, поступове зближення між Україною та ЄС.</w:t>
      </w:r>
    </w:p>
    <w:p w14:paraId="0C7A0E4F"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lastRenderedPageBreak/>
        <mc:AlternateContent>
          <mc:Choice Requires="wps">
            <w:drawing>
              <wp:inline distT="0" distB="0" distL="0" distR="0" wp14:anchorId="5A8E6CF4" wp14:editId="24F6A223">
                <wp:extent cx="17065625" cy="17065625"/>
                <wp:effectExtent l="0" t="0" r="0" b="0"/>
                <wp:docPr id="2038133765" name="AutoShape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65625" cy="1706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A4A64" id="AutoShape 270" o:spid="_x0000_s1026" style="width:1343.75pt;height:13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" filled="f" stroked="f">
                <o:lock v:ext="edit" aspectratio="t"/>
                <w10:anchorlock/>
              </v:rect>
            </w:pict>
          </mc:Fallback>
        </mc:AlternateContent>
      </w:r>
    </w:p>
    <w:p w14:paraId="4183A7AB"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lastRenderedPageBreak/>
        <w:t>РОЗДІЛ II «Політичний діалог і реформи, політична асоціація, співробітництво та конвергенція у сфері закордонних справ та політики безпеки»,</w:t>
      </w:r>
      <w:r w:rsidRPr="00733265">
        <w:rPr>
          <w:rFonts w:ascii="Noto Serif" w:eastAsia="Times New Roman" w:hAnsi="Noto Serif" w:cs="Noto Serif"/>
          <w:b/>
          <w:bCs/>
          <w:color w:val="0000FF"/>
          <w:kern w:val="0"/>
          <w:lang w:eastAsia="uk-UA"/>
          <w14:ligatures w14:val="none"/>
        </w:rPr>
        <w:br/>
        <w:t>Ст. 4-13</w:t>
      </w:r>
    </w:p>
    <w:p w14:paraId="72C42316"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5DC8D8D4" w14:textId="3564E51E" w:rsidR="00733265" w:rsidRPr="00733265" w:rsidRDefault="00733265" w:rsidP="00733265">
      <w:pPr>
        <w:spacing w:after="0" w:line="240" w:lineRule="auto"/>
        <w:ind w:firstLine="480"/>
        <w:jc w:val="both"/>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color w:val="000000"/>
          <w:kern w:val="0"/>
          <w:lang w:eastAsia="uk-UA"/>
          <w14:ligatures w14:val="none"/>
        </w:rPr>
        <w:t xml:space="preserve">містить положення, реалізація яких має сприяти розвитку і зміцненню політичного діалогу у різних сферах, у тому числі поступовій конвергенції позицій України з ЄС у сфері зовнішньої та безпекової політики. Визначені цілі політичного діалогу, ключовою з яких </w:t>
      </w:r>
      <w:proofErr w:type="spellStart"/>
      <w:r w:rsidRPr="00733265">
        <w:rPr>
          <w:rFonts w:ascii="Noto Serif" w:eastAsia="Times New Roman" w:hAnsi="Noto Serif" w:cs="Noto Serif"/>
          <w:color w:val="000000"/>
          <w:kern w:val="0"/>
          <w:lang w:eastAsia="uk-UA"/>
          <w14:ligatures w14:val="none"/>
        </w:rPr>
        <w:lastRenderedPageBreak/>
        <w:t>єзапровадження</w:t>
      </w:r>
      <w:proofErr w:type="spellEnd"/>
      <w:r w:rsidRPr="00733265">
        <w:rPr>
          <w:rFonts w:ascii="Noto Serif" w:eastAsia="Times New Roman" w:hAnsi="Noto Serif" w:cs="Noto Serif"/>
          <w:color w:val="000000"/>
          <w:kern w:val="0"/>
          <w:lang w:eastAsia="uk-UA"/>
          <w14:ligatures w14:val="none"/>
        </w:rPr>
        <w:t xml:space="preserve"> політичної асоціації між Україною та ЄС.</w:t>
      </w:r>
      <w:r w:rsidRPr="00733265">
        <w:rPr>
          <w:rFonts w:ascii="Noto Serif" w:eastAsia="Times New Roman" w:hAnsi="Noto Serif" w:cs="Noto Serif"/>
          <w:noProof/>
          <w:color w:val="000000"/>
          <w:kern w:val="0"/>
          <w:sz w:val="24"/>
          <w:szCs w:val="24"/>
          <w:lang w:eastAsia="uk-UA"/>
          <w14:ligatures w14:val="none"/>
        </w:rPr>
        <w:lastRenderedPageBreak/>
        <mc:AlternateContent>
          <mc:Choice Requires="wps">
            <w:drawing>
              <wp:inline distT="0" distB="0" distL="0" distR="0" wp14:anchorId="24B6D5DC" wp14:editId="153714CB">
                <wp:extent cx="12682220" cy="12682220"/>
                <wp:effectExtent l="0" t="0" r="0" b="0"/>
                <wp:docPr id="1433642335" name="AutoShape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82220" cy="1268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0598E" id="AutoShape 271" o:spid="_x0000_s1026" style="width:998.6pt;height:9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" filled="f" stroked="f">
                <o:lock v:ext="edit" aspectratio="t"/>
                <w10:anchorlock/>
              </v:rect>
            </w:pict>
          </mc:Fallback>
        </mc:AlternateContent>
      </w:r>
    </w:p>
    <w:p w14:paraId="7D332F34"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lastRenderedPageBreak/>
        <w:t>РОЗДІЛ ІII «Юстиція, свобода і безпека»,</w:t>
      </w:r>
      <w:r w:rsidRPr="00733265">
        <w:rPr>
          <w:rFonts w:ascii="Noto Serif" w:eastAsia="Times New Roman" w:hAnsi="Noto Serif" w:cs="Noto Serif"/>
          <w:b/>
          <w:bCs/>
          <w:color w:val="0000FF"/>
          <w:kern w:val="0"/>
          <w:lang w:eastAsia="uk-UA"/>
          <w14:ligatures w14:val="none"/>
        </w:rPr>
        <w:br/>
        <w:t>Ст. 14-24</w:t>
      </w:r>
    </w:p>
    <w:p w14:paraId="2FA6D733"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E9A9C5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визначені напрямки взаємодії у відповідних сферах. Підкреслюється верховенство права та зміцнення відповідних інституцій, зокрема у сфері правоохоронної діяльності та встановлення правосуддя, насамперед зміцнення судової системи, покращення її ефективності, гарантування її незалежності та неупередженості.</w:t>
      </w:r>
    </w:p>
    <w:p w14:paraId="7C6D77A5" w14:textId="0A16699A"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p>
    <w:p w14:paraId="0E93E94F"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t>РОЗДІЛ IV «Торгівля і питання пов'язані з торгівлею»,</w:t>
      </w:r>
      <w:r w:rsidRPr="00733265">
        <w:rPr>
          <w:rFonts w:ascii="Noto Serif" w:eastAsia="Times New Roman" w:hAnsi="Noto Serif" w:cs="Noto Serif"/>
          <w:b/>
          <w:bCs/>
          <w:color w:val="0000FF"/>
          <w:kern w:val="0"/>
          <w:lang w:eastAsia="uk-UA"/>
          <w14:ligatures w14:val="none"/>
        </w:rPr>
        <w:br/>
        <w:t>Ст. 25-336</w:t>
      </w:r>
    </w:p>
    <w:p w14:paraId="5B6A329F"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424DD1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визначає </w:t>
      </w:r>
      <w:r w:rsidRPr="00733265">
        <w:rPr>
          <w:rFonts w:ascii="Noto Serif" w:eastAsia="Times New Roman" w:hAnsi="Noto Serif" w:cs="Noto Serif"/>
          <w:b/>
          <w:bCs/>
          <w:color w:val="000000"/>
          <w:kern w:val="0"/>
          <w:lang w:eastAsia="uk-UA"/>
          <w14:ligatures w14:val="none"/>
        </w:rPr>
        <w:t>«Поглиблену та всеохоплюючу зону вільної торгівлі»</w:t>
      </w:r>
      <w:r w:rsidRPr="00733265">
        <w:rPr>
          <w:rFonts w:ascii="Noto Serif" w:eastAsia="Times New Roman" w:hAnsi="Noto Serif" w:cs="Noto Serif"/>
          <w:color w:val="000000"/>
          <w:kern w:val="0"/>
          <w:lang w:eastAsia="uk-UA"/>
          <w14:ligatures w14:val="none"/>
        </w:rPr>
        <w:t> Україна-ЄС (ЗВТ). ЗВТ передбачає лібералізацію торгівлі як товарами, так і послугами, лібералізацію руху капіталів та до певної міри — руху робочої сили.</w:t>
      </w:r>
    </w:p>
    <w:p w14:paraId="6541D72D" w14:textId="79D20BAA"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p>
    <w:p w14:paraId="29E8B8CF"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t>РОЗДІЛ V «Економічне та секторальне співробітництво»,</w:t>
      </w:r>
      <w:r w:rsidRPr="00733265">
        <w:rPr>
          <w:rFonts w:ascii="Noto Serif" w:eastAsia="Times New Roman" w:hAnsi="Noto Serif" w:cs="Noto Serif"/>
          <w:b/>
          <w:bCs/>
          <w:color w:val="0000FF"/>
          <w:kern w:val="0"/>
          <w:lang w:eastAsia="uk-UA"/>
          <w14:ligatures w14:val="none"/>
        </w:rPr>
        <w:br/>
        <w:t>Ст. 337-452</w:t>
      </w:r>
    </w:p>
    <w:p w14:paraId="6006A069"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944B35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містить положення про умови, часові рамки гармонізації законодавства України та законодавства ЄС, зобов'язання України щодо реформування інституційної спроможності відповідних установ та принципи співробітництва між Україною, ЄС у низці секторів економіки України та напрямків реалізації державної галузевої політики.</w:t>
      </w:r>
    </w:p>
    <w:p w14:paraId="5BA1BAB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68601A2" w14:textId="46565A46"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p>
    <w:p w14:paraId="3DF9924C"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t>РОЗДІЛ VІ «Фінансове співробітництво»,</w:t>
      </w:r>
      <w:r w:rsidRPr="00733265">
        <w:rPr>
          <w:rFonts w:ascii="Noto Serif" w:eastAsia="Times New Roman" w:hAnsi="Noto Serif" w:cs="Noto Serif"/>
          <w:b/>
          <w:bCs/>
          <w:color w:val="0000FF"/>
          <w:kern w:val="0"/>
          <w:lang w:eastAsia="uk-UA"/>
          <w14:ligatures w14:val="none"/>
        </w:rPr>
        <w:br/>
        <w:t>Ст. 453-459</w:t>
      </w:r>
    </w:p>
    <w:p w14:paraId="2A6E3D69"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236A9C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описано механізми отримання Україною фінансової допомоги з боку ЄС,  поглиблення співпраці України та ЄС з метою попередження та боротьби з шахрайством, корупцією та незаконною діяльністю, зокрема шляхом поступової гармонізації українського законодавства у цій сфері із законодавством ЄС, обміну відповідною інформацією тощо.</w:t>
      </w:r>
    </w:p>
    <w:p w14:paraId="661C1FD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5FFD7DAD" w14:textId="7AB67FEB"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p>
    <w:p w14:paraId="1ACB2D24" w14:textId="77777777" w:rsidR="00733265" w:rsidRPr="00733265" w:rsidRDefault="00733265" w:rsidP="00733265">
      <w:pPr>
        <w:spacing w:after="0" w:line="240" w:lineRule="auto"/>
        <w:ind w:firstLine="612"/>
        <w:jc w:val="center"/>
        <w:rPr>
          <w:rFonts w:ascii="Noto Serif" w:eastAsia="Times New Roman" w:hAnsi="Noto Serif" w:cs="Noto Serif"/>
          <w:b/>
          <w:bCs/>
          <w:color w:val="0000FF"/>
          <w:kern w:val="0"/>
          <w:lang w:eastAsia="uk-UA"/>
          <w14:ligatures w14:val="none"/>
        </w:rPr>
      </w:pPr>
      <w:r w:rsidRPr="00733265">
        <w:rPr>
          <w:rFonts w:ascii="Noto Serif" w:eastAsia="Times New Roman" w:hAnsi="Noto Serif" w:cs="Noto Serif"/>
          <w:b/>
          <w:bCs/>
          <w:color w:val="0000FF"/>
          <w:kern w:val="0"/>
          <w:lang w:eastAsia="uk-UA"/>
          <w14:ligatures w14:val="none"/>
        </w:rPr>
        <w:t>РОЗДІЛ VІІ «Інституційні, загальні та прикінцеві положення»,</w:t>
      </w:r>
      <w:r w:rsidRPr="00733265">
        <w:rPr>
          <w:rFonts w:ascii="Noto Serif" w:eastAsia="Times New Roman" w:hAnsi="Noto Serif" w:cs="Noto Serif"/>
          <w:b/>
          <w:bCs/>
          <w:color w:val="0000FF"/>
          <w:kern w:val="0"/>
          <w:lang w:eastAsia="uk-UA"/>
          <w14:ligatures w14:val="none"/>
        </w:rPr>
        <w:br/>
        <w:t>Ст. 460-486</w:t>
      </w:r>
    </w:p>
    <w:p w14:paraId="7F8F8901" w14:textId="77777777" w:rsidR="00733265" w:rsidRPr="00733265" w:rsidRDefault="00733265" w:rsidP="00733265">
      <w:pPr>
        <w:spacing w:after="0" w:line="259" w:lineRule="atLeast"/>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087DDC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передбачається запровадження нових форматів  співробітництва між Україною та ЄС, створення Ради та Комітету з питань асоціації, Парламентського комітету. З метою залучення до реалізації Угоди громадянського суспільства буде створена Платформа громадянського суспільства.</w:t>
      </w:r>
    </w:p>
    <w:p w14:paraId="3754033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D0C52B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CCDE203"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Рис. 4.4  Короткий зміст Угоди про  асоціацію між Україною та ЄС</w:t>
      </w:r>
    </w:p>
    <w:p w14:paraId="11647B63"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56DE46D3"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84FFFE5"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lastRenderedPageBreak/>
        <w:drawing>
          <wp:inline distT="0" distB="0" distL="0" distR="0" wp14:anchorId="6F7C27E1" wp14:editId="0912D04A">
            <wp:extent cx="3249930" cy="1868805"/>
            <wp:effectExtent l="0" t="0" r="7620" b="0"/>
            <wp:docPr id="27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9930" cy="1868805"/>
                    </a:xfrm>
                    <a:prstGeom prst="rect">
                      <a:avLst/>
                    </a:prstGeom>
                    <a:noFill/>
                    <a:ln>
                      <a:noFill/>
                    </a:ln>
                  </pic:spPr>
                </pic:pic>
              </a:graphicData>
            </a:graphic>
          </wp:inline>
        </w:drawing>
      </w:r>
    </w:p>
    <w:p w14:paraId="2018B59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  це широкомасштабна за змістом торговельна угода, яка спрямована на зменшення та скасування тарифів, які застосовуються сторонами щодо товарів, лібералізацію доступу до ринку послуг, а також на приведення українських правил та регламентів, що стосуються бізнесу, у відповідність правилам та регламентам ЄС з метою забезпечення вільного руху товарів і послуг між двома сторонами.</w:t>
      </w:r>
    </w:p>
    <w:p w14:paraId="6EFBC4B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УГОДА ПРО ЗОНУ ВІЛЬНОЇ ТОРГІВЛІ УКРАЇНИ З ЄС</w:t>
      </w:r>
      <w:r w:rsidRPr="00733265">
        <w:rPr>
          <w:rFonts w:ascii="Noto Serif" w:eastAsia="Times New Roman" w:hAnsi="Noto Serif" w:cs="Noto Serif"/>
          <w:color w:val="000000"/>
          <w:kern w:val="0"/>
          <w:lang w:eastAsia="uk-UA"/>
          <w14:ligatures w14:val="none"/>
        </w:rPr>
        <w:t> набула чинності з  </w:t>
      </w:r>
      <w:r w:rsidRPr="00733265">
        <w:rPr>
          <w:rFonts w:ascii="Noto Serif" w:eastAsia="Times New Roman" w:hAnsi="Noto Serif" w:cs="Noto Serif"/>
          <w:b/>
          <w:bCs/>
          <w:color w:val="000000"/>
          <w:kern w:val="0"/>
          <w:lang w:eastAsia="uk-UA"/>
          <w14:ligatures w14:val="none"/>
        </w:rPr>
        <w:t>1 січня 2016 року.</w:t>
      </w:r>
    </w:p>
    <w:p w14:paraId="4BB760C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Положення Угоди вміщені в розділ IV Угоди про асоціацію між Україною та ЄС. Цей розділ має назву «Торгівля і питання пов'язані з торгівлею» і складає 2/3 від усього обсягу основної (без додатків і протоколів) частини Угоди (156 із 245 сторінок)</w:t>
      </w:r>
      <w:bookmarkStart w:id="11" w:name="_ftnref46"/>
      <w:r w:rsidRPr="00733265">
        <w:rPr>
          <w:rFonts w:ascii="Noto Serif" w:eastAsia="Times New Roman" w:hAnsi="Noto Serif" w:cs="Noto Serif"/>
          <w:color w:val="000000"/>
          <w:kern w:val="0"/>
          <w:vertAlign w:val="superscript"/>
          <w:lang w:eastAsia="uk-UA"/>
          <w14:ligatures w14:val="none"/>
        </w:rPr>
        <w:fldChar w:fldCharType="begin"/>
      </w:r>
      <w:r w:rsidRPr="00733265">
        <w:rPr>
          <w:rFonts w:ascii="Noto Serif" w:eastAsia="Times New Roman" w:hAnsi="Noto Serif" w:cs="Noto Serif"/>
          <w:color w:val="000000"/>
          <w:kern w:val="0"/>
          <w:vertAlign w:val="superscript"/>
          <w:lang w:eastAsia="uk-UA"/>
          <w14:ligatures w14:val="none"/>
        </w:rPr>
        <w:instrText>HYPERLINK "https://readymag.com/kis/eu-ukraine-fta/" \o "Більш детальне роз’яснення про Зону вільної торгівлі між Україною та ЄС див. : Брошура про зону вільної торгівлі між Україною та ЄС [Електронний ресурс]. — Режим доступу : https://readymag.com/kis/eu-ukraine-fta/ . — Назва з екрана."</w:instrText>
      </w:r>
      <w:r w:rsidRPr="00733265">
        <w:rPr>
          <w:rFonts w:ascii="Noto Serif" w:eastAsia="Times New Roman" w:hAnsi="Noto Serif" w:cs="Noto Serif"/>
          <w:color w:val="000000"/>
          <w:kern w:val="0"/>
          <w:vertAlign w:val="superscript"/>
          <w:lang w:eastAsia="uk-UA"/>
          <w14:ligatures w14:val="none"/>
        </w:rPr>
      </w:r>
      <w:r w:rsidRPr="00733265">
        <w:rPr>
          <w:rFonts w:ascii="Noto Serif" w:eastAsia="Times New Roman" w:hAnsi="Noto Serif" w:cs="Noto Serif"/>
          <w:color w:val="000000"/>
          <w:kern w:val="0"/>
          <w:vertAlign w:val="superscript"/>
          <w:lang w:eastAsia="uk-UA"/>
          <w14:ligatures w14:val="none"/>
        </w:rPr>
        <w:fldChar w:fldCharType="separate"/>
      </w:r>
      <w:r w:rsidRPr="00733265">
        <w:rPr>
          <w:rFonts w:ascii="Noto Serif" w:eastAsia="Times New Roman" w:hAnsi="Noto Serif" w:cs="Noto Serif"/>
          <w:color w:val="0000FF"/>
          <w:kern w:val="0"/>
          <w:u w:val="single"/>
          <w:vertAlign w:val="superscript"/>
          <w:lang w:eastAsia="uk-UA"/>
          <w14:ligatures w14:val="none"/>
        </w:rPr>
        <w:t>[46]</w:t>
      </w:r>
      <w:r w:rsidRPr="00733265">
        <w:rPr>
          <w:rFonts w:ascii="Noto Serif" w:eastAsia="Times New Roman" w:hAnsi="Noto Serif" w:cs="Noto Serif"/>
          <w:color w:val="000000"/>
          <w:kern w:val="0"/>
          <w:vertAlign w:val="superscript"/>
          <w:lang w:eastAsia="uk-UA"/>
          <w14:ligatures w14:val="none"/>
        </w:rPr>
        <w:fldChar w:fldCharType="end"/>
      </w:r>
      <w:bookmarkEnd w:id="11"/>
      <w:r w:rsidRPr="00733265">
        <w:rPr>
          <w:rFonts w:ascii="Noto Serif" w:eastAsia="Times New Roman" w:hAnsi="Noto Serif" w:cs="Noto Serif"/>
          <w:color w:val="000000"/>
          <w:kern w:val="0"/>
          <w:lang w:eastAsia="uk-UA"/>
          <w14:ligatures w14:val="none"/>
        </w:rPr>
        <w:t>. В загальному розумінні зона вільної торгівлі – це тип міжнародної інтеграції, за якої в країнах-учасниках скасовуються митні збори і кількісні обмеження у взаємній торгівлі. Тож Угода між Україною та ЄС також передбачає, в першу чергу, скасування (в окремих випадках — суттєве зменшення) експортних та імпортних мит.</w:t>
      </w:r>
    </w:p>
    <w:p w14:paraId="55095FBA"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1CD4993" wp14:editId="2B8C6A10">
            <wp:extent cx="5575935" cy="1371600"/>
            <wp:effectExtent l="0" t="0" r="5715" b="0"/>
            <wp:docPr id="277" name="Рисунок 180" descr="Овальная выноска: В чому  вигода ЗВТ для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Овальная выноска: В чому  вигода ЗВТ для Україн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1371600"/>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w:t>
      </w:r>
    </w:p>
    <w:p w14:paraId="63AA58C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91DC8C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4384" behindDoc="0" locked="0" layoutInCell="1" allowOverlap="0" wp14:anchorId="44CDC39A" wp14:editId="24D5B1FB">
            <wp:simplePos x="0" y="0"/>
            <wp:positionH relativeFrom="column">
              <wp:align>left</wp:align>
            </wp:positionH>
            <wp:positionV relativeFrom="line">
              <wp:posOffset>0</wp:posOffset>
            </wp:positionV>
            <wp:extent cx="1428750" cy="1272650"/>
            <wp:effectExtent l="0" t="0" r="0" b="3810"/>
            <wp:wrapSquare wrapText="bothSides"/>
            <wp:docPr id="8" name="Рисунок 241" descr="Овал: Кращий    доступ до великого р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вал: Кращий    доступ до великого ринк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27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lang w:eastAsia="uk-UA"/>
          <w14:ligatures w14:val="none"/>
        </w:rPr>
        <w:t>Європейський Союз – це найбільший єдиний ринок в світі, який складається з 28 країн та охоплює населення, чисельність якого в 11 разів перевищує чисельність населення України. Це понад 500 мільйонів споживачів, середній дохід яких складає 39,000 доларів США. Для того, щоб Україна могла легко та ефективно продавати свої товари на цьому ринку, відповідні регламенти, стандарти вимоги щодо безпечності продукції мають бути гармонізовані відповідно до вимог ЄС. Скасування ввізного мита для більш ніж 97% усіх товарів, що експортуються з України до ЄС, включаючи сільськогосподарські товари.</w:t>
      </w:r>
    </w:p>
    <w:p w14:paraId="26AD44E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5408" behindDoc="0" locked="0" layoutInCell="1" allowOverlap="0" wp14:anchorId="3519A527" wp14:editId="33E1A123">
            <wp:simplePos x="0" y="0"/>
            <wp:positionH relativeFrom="column">
              <wp:align>left</wp:align>
            </wp:positionH>
            <wp:positionV relativeFrom="line">
              <wp:posOffset>0</wp:posOffset>
            </wp:positionV>
            <wp:extent cx="1428750" cy="1485903"/>
            <wp:effectExtent l="0" t="0" r="0" b="0"/>
            <wp:wrapSquare wrapText="bothSides"/>
            <wp:docPr id="9" name="Рисунок 240" descr="Овал: Нижчі ставки ввізного мита для українських това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вал: Нижчі ставки ввізного мита для українських товарі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85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lang w:eastAsia="uk-UA"/>
          <w14:ligatures w14:val="none"/>
        </w:rPr>
        <w:t> </w:t>
      </w:r>
    </w:p>
    <w:p w14:paraId="60382E7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665CB84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Тільки для 3% експорту (деякі сільськогосподарські товари) ввізні мита не будуть повністю скасовані. Навіть для цих товарів певна частина експорту в межах тарифних квот буде здійснюватися на безмитній основі. Разом з тим, така частка обмеженого експорту (відома як тарифна квота) є досить суттєвою і за розрахунками після набуття чинності ЗВТ+ відразу більше ніж 99% існуючого українського експорту до ЄС буде ввозитися без сплати імпортного мита.       </w:t>
      </w:r>
    </w:p>
    <w:p w14:paraId="0E160BC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ECDB90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5408AE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lastRenderedPageBreak/>
        <w:drawing>
          <wp:anchor distT="0" distB="0" distL="142875" distR="142875" simplePos="0" relativeHeight="251666432" behindDoc="0" locked="0" layoutInCell="1" allowOverlap="0" wp14:anchorId="71EF78A1" wp14:editId="0AF3AC2E">
            <wp:simplePos x="0" y="0"/>
            <wp:positionH relativeFrom="column">
              <wp:align>left</wp:align>
            </wp:positionH>
            <wp:positionV relativeFrom="line">
              <wp:posOffset>0</wp:posOffset>
            </wp:positionV>
            <wp:extent cx="1428750" cy="1310754"/>
            <wp:effectExtent l="0" t="0" r="0" b="3810"/>
            <wp:wrapSquare wrapText="bothSides"/>
            <wp:docPr id="1722200810" name="Рисунок 10" descr="Овал: Доступ до державних закупівель в країнах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вал: Доступ до державних закупівель в країнах Є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310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lang w:eastAsia="uk-UA"/>
          <w14:ligatures w14:val="none"/>
        </w:rPr>
        <w:t xml:space="preserve">Гармонізація законодавства та процедур в сфері державних </w:t>
      </w:r>
      <w:proofErr w:type="spellStart"/>
      <w:r w:rsidRPr="00733265">
        <w:rPr>
          <w:rFonts w:ascii="Noto Serif" w:eastAsia="Times New Roman" w:hAnsi="Noto Serif" w:cs="Noto Serif"/>
          <w:color w:val="000000"/>
          <w:kern w:val="0"/>
          <w:lang w:eastAsia="uk-UA"/>
          <w14:ligatures w14:val="none"/>
        </w:rPr>
        <w:t>закупівель</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надасть</w:t>
      </w:r>
      <w:proofErr w:type="spellEnd"/>
      <w:r w:rsidRPr="00733265">
        <w:rPr>
          <w:rFonts w:ascii="Noto Serif" w:eastAsia="Times New Roman" w:hAnsi="Noto Serif" w:cs="Noto Serif"/>
          <w:color w:val="000000"/>
          <w:kern w:val="0"/>
          <w:lang w:eastAsia="uk-UA"/>
          <w14:ligatures w14:val="none"/>
        </w:rPr>
        <w:t xml:space="preserve"> можливість українським підприємствам приймати участь на рівних умовах з європейськими підприємствами у проведенні робіт за державним замовленням, наданні послуг та у проведенні тендерів на рівні ЄС. Обсяг цього ринку складає майже 2,5 трлн. доларів США.</w:t>
      </w:r>
    </w:p>
    <w:p w14:paraId="081C8FE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AC9C3F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970EC1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C1F3CF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57302E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7456" behindDoc="0" locked="0" layoutInCell="1" allowOverlap="0" wp14:anchorId="41212592" wp14:editId="2FAB291B">
            <wp:simplePos x="0" y="0"/>
            <wp:positionH relativeFrom="column">
              <wp:align>left</wp:align>
            </wp:positionH>
            <wp:positionV relativeFrom="line">
              <wp:posOffset>0</wp:posOffset>
            </wp:positionV>
            <wp:extent cx="1428750" cy="1310754"/>
            <wp:effectExtent l="0" t="0" r="0" b="3810"/>
            <wp:wrapSquare wrapText="bothSides"/>
            <wp:docPr id="1472445296" name="Рисунок 11" descr="Овал: Нижчі ціни та вищий рівень 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вал: Нижчі ціни та вищий рівень житт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310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lang w:eastAsia="uk-UA"/>
          <w14:ligatures w14:val="none"/>
        </w:rPr>
        <w:t>Україна також знизить тарифні ставки на імпорт з ЄС. Це призведе до збільшення імпорту з ЄС, що забезпечить більш широкий вибір для споживачів та зниження цін. Виробники в Україні отримають доступ до широкого спектру більш дешевих промислових товарів, комплектуючих та обладнання. Крім того, кращі стандарти охорони здоров’я та безпечності продукції також будуть вигідними для українських споживачів, оскільки для них буде гарантована якість товарів, що продаються, а також більша безпечність для всіх.</w:t>
      </w:r>
    </w:p>
    <w:p w14:paraId="78427D8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9D7882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C900D3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anchor distT="0" distB="0" distL="142875" distR="142875" simplePos="0" relativeHeight="251668480" behindDoc="0" locked="0" layoutInCell="1" allowOverlap="0" wp14:anchorId="5454CD32" wp14:editId="5450CF94">
            <wp:simplePos x="0" y="0"/>
            <wp:positionH relativeFrom="column">
              <wp:align>left</wp:align>
            </wp:positionH>
            <wp:positionV relativeFrom="line">
              <wp:posOffset>0</wp:posOffset>
            </wp:positionV>
            <wp:extent cx="1428750" cy="1318374"/>
            <wp:effectExtent l="0" t="0" r="0" b="0"/>
            <wp:wrapSquare wrapText="bothSides"/>
            <wp:docPr id="2098905605" name="Рисунок 12" descr="Овал: Кращий доступ до ринків третіх краї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вал: Кращий доступ до ринків третіх краї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318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65">
        <w:rPr>
          <w:rFonts w:ascii="Noto Serif" w:eastAsia="Times New Roman" w:hAnsi="Noto Serif" w:cs="Noto Serif"/>
          <w:color w:val="000000"/>
          <w:kern w:val="0"/>
          <w:lang w:eastAsia="uk-UA"/>
          <w14:ligatures w14:val="none"/>
        </w:rPr>
        <w:t>Кращий доступ до ринків третіх країн буде забезпечений завдяки гармонізації технічних регламентів та стандартів згідно з вимогами ЄС та перехід на прийнятні в усьому світі стандарти шляхом укладання з ЄС угод про взаємне визнання, що також передбачатиме перспективу визнання відповідних українських товарів на ринках США, Японії, Канаді та Кореї.</w:t>
      </w:r>
    </w:p>
    <w:p w14:paraId="4D582C9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AB41B8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7A913FD1"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Рис. 4.5 Можливі переваги ЗВТ для України</w:t>
      </w:r>
    </w:p>
    <w:p w14:paraId="314A2817"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04F0DB3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71787AE" w14:textId="77777777" w:rsidR="00733265" w:rsidRPr="00733265" w:rsidRDefault="00733265" w:rsidP="00733265">
      <w:pPr>
        <w:spacing w:after="0" w:line="240" w:lineRule="auto"/>
        <w:jc w:val="center"/>
        <w:rPr>
          <w:rFonts w:ascii="Noto Serif" w:eastAsia="Times New Roman" w:hAnsi="Noto Serif" w:cs="Noto Serif"/>
          <w:color w:val="000000"/>
          <w:kern w:val="0"/>
          <w:sz w:val="24"/>
          <w:szCs w:val="24"/>
          <w:lang w:eastAsia="uk-UA"/>
          <w14:ligatures w14:val="none"/>
        </w:rPr>
      </w:pPr>
      <w:r w:rsidRPr="00733265">
        <w:rPr>
          <w:rFonts w:ascii="Noto Serif" w:eastAsia="Times New Roman" w:hAnsi="Noto Serif" w:cs="Noto Serif"/>
          <w:noProof/>
          <w:color w:val="000000"/>
          <w:kern w:val="0"/>
          <w:sz w:val="24"/>
          <w:szCs w:val="24"/>
          <w:lang w:eastAsia="uk-UA"/>
          <w14:ligatures w14:val="none"/>
        </w:rPr>
        <w:drawing>
          <wp:inline distT="0" distB="0" distL="0" distR="0" wp14:anchorId="3B38477E" wp14:editId="791B87BC">
            <wp:extent cx="2862580" cy="1640205"/>
            <wp:effectExtent l="0" t="0" r="0" b="0"/>
            <wp:docPr id="27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1640205"/>
                    </a:xfrm>
                    <a:prstGeom prst="rect">
                      <a:avLst/>
                    </a:prstGeom>
                    <a:noFill/>
                    <a:ln>
                      <a:noFill/>
                    </a:ln>
                  </pic:spPr>
                </pic:pic>
              </a:graphicData>
            </a:graphic>
          </wp:inline>
        </w:drawing>
      </w:r>
    </w:p>
    <w:p w14:paraId="4CBCF3D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 Парламентський комітет асоціації (ПКА) </w:t>
      </w:r>
      <w:r w:rsidRPr="00733265">
        <w:rPr>
          <w:rFonts w:ascii="Noto Serif" w:eastAsia="Times New Roman" w:hAnsi="Noto Serif" w:cs="Noto Serif"/>
          <w:color w:val="000000"/>
          <w:kern w:val="0"/>
          <w:lang w:eastAsia="uk-UA"/>
          <w14:ligatures w14:val="none"/>
        </w:rPr>
        <w:t>створений відповідно до статті 467 Угоди про асоціацію та є форматом двостороннього парламентського діалогу між Україною та ЄС.</w:t>
      </w:r>
    </w:p>
    <w:p w14:paraId="07E3E3A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Функції та повноваження ПКА:</w:t>
      </w:r>
    </w:p>
    <w:p w14:paraId="4CA0BE3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03324C5" wp14:editId="35165B94">
            <wp:extent cx="149225" cy="149225"/>
            <wp:effectExtent l="0" t="0" r="3175" b="3175"/>
            <wp:docPr id="27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форум для взаємодії депутатів Верховної Ради України та Європейського Парламенту;</w:t>
      </w:r>
    </w:p>
    <w:p w14:paraId="4DADB08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5C41794" wp14:editId="3EC9684D">
            <wp:extent cx="149225" cy="149225"/>
            <wp:effectExtent l="0" t="0" r="3175" b="3175"/>
            <wp:docPr id="280" name="Рисунок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звернення із запитом до Ради асоціації щодо відповідної інформації про виконання Угоди про асоціацію;</w:t>
      </w:r>
    </w:p>
    <w:p w14:paraId="1B58EFA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FB31C27" wp14:editId="254BD744">
            <wp:extent cx="149225" cy="149225"/>
            <wp:effectExtent l="0" t="0" r="3175" b="3175"/>
            <wp:docPr id="281" name="Рисунок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надання рекомендацій Раді асоціації;</w:t>
      </w:r>
    </w:p>
    <w:p w14:paraId="3DEE824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98E1009" wp14:editId="0A0A1C4A">
            <wp:extent cx="149225" cy="149225"/>
            <wp:effectExtent l="0" t="0" r="3175" b="3175"/>
            <wp:docPr id="282" name="Рисунок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створення відповідних підкомітетів;</w:t>
      </w:r>
    </w:p>
    <w:p w14:paraId="0208C8D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0EBEF64" wp14:editId="364BA51F">
            <wp:extent cx="149225" cy="149225"/>
            <wp:effectExtent l="0" t="0" r="3175" b="3175"/>
            <wp:docPr id="283" name="Рисунок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поінформованість про рішення та рекомендації Ради асоціації.</w:t>
      </w:r>
    </w:p>
    <w:p w14:paraId="260EB5C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1D6077E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Парламентська Асамблея ЄВРОНЕСТ </w:t>
      </w:r>
      <w:r w:rsidRPr="00733265">
        <w:rPr>
          <w:rFonts w:ascii="Noto Serif" w:eastAsia="Times New Roman" w:hAnsi="Noto Serif" w:cs="Noto Serif"/>
          <w:color w:val="000000"/>
          <w:kern w:val="0"/>
          <w:lang w:eastAsia="uk-UA"/>
          <w14:ligatures w14:val="none"/>
        </w:rPr>
        <w:t>— парламентський орган</w:t>
      </w:r>
    </w:p>
    <w:p w14:paraId="18E5876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lastRenderedPageBreak/>
        <w:t>«Східного партнерства» між ЄС та його Східноєвропейськими партнерами (Азербайджан, Білорусь, Вірменія, Грузія, Молдова), а також є багатостороннім компонентом парламентських відносин Європейського Парламенту з Україною. Установчий акт Парламентської Асамблеї ЄВРОНЕСТ був підписаний у м. Брюссель 3 травня 2011 року.</w:t>
      </w:r>
    </w:p>
    <w:p w14:paraId="38885F1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3 липня 2015 р. у рамках візиту Президента Європейського Парламенту М. Шульца в Україну було підписано Меморандум про взаєморозуміння між ВРУ та ЄП про спільні рамки парламентської підтримки та підвищення інституційної спроможності.</w:t>
      </w:r>
    </w:p>
    <w:p w14:paraId="62B606E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Така діяльність з надання парламентської підтримки буде здійснюватися відповідно до національного порядку денного реформ та програм розвитку України, пріоритетів Угоди про асоціацію між Україною та ЄС, буде послідовною та доповнюватиме зусилля ЄС, спрямовані на зміцнення демократії та верховенства права в Україні.</w:t>
      </w:r>
    </w:p>
    <w:p w14:paraId="7C3368D6"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0F0A6F48" wp14:editId="1E5BC88B">
            <wp:extent cx="2862580" cy="2345690"/>
            <wp:effectExtent l="0" t="0" r="0" b="0"/>
            <wp:docPr id="284"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2580" cy="2345690"/>
                    </a:xfrm>
                    <a:prstGeom prst="rect">
                      <a:avLst/>
                    </a:prstGeom>
                    <a:noFill/>
                    <a:ln>
                      <a:noFill/>
                    </a:ln>
                  </pic:spPr>
                </pic:pic>
              </a:graphicData>
            </a:graphic>
          </wp:inline>
        </w:drawing>
      </w:r>
    </w:p>
    <w:p w14:paraId="5B49DE4A"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 основними документами, що регламентують співробітництво між Україною та ЄС у сфері юстиції, свободи та безпеки є </w:t>
      </w:r>
      <w:r w:rsidRPr="00733265">
        <w:rPr>
          <w:rFonts w:ascii="Noto Serif" w:eastAsia="Times New Roman" w:hAnsi="Noto Serif" w:cs="Noto Serif"/>
          <w:b/>
          <w:bCs/>
          <w:kern w:val="0"/>
          <w:lang w:eastAsia="uk-UA"/>
          <w14:ligatures w14:val="none"/>
        </w:rPr>
        <w:t>План дій Україна – ЄС у сфері юстиції, свободи та безпеки</w:t>
      </w:r>
      <w:r w:rsidRPr="00733265">
        <w:rPr>
          <w:rFonts w:ascii="Noto Serif" w:eastAsia="Times New Roman" w:hAnsi="Noto Serif" w:cs="Noto Serif"/>
          <w:kern w:val="0"/>
          <w:lang w:eastAsia="uk-UA"/>
          <w14:ligatures w14:val="none"/>
        </w:rPr>
        <w:t>, затверджений на засіданні Ради з питань співробітництва між Україною та ЄС (18 червня 2007 р., м. Люксембург) та </w:t>
      </w:r>
      <w:r w:rsidRPr="00733265">
        <w:rPr>
          <w:rFonts w:ascii="Noto Serif" w:eastAsia="Times New Roman" w:hAnsi="Noto Serif" w:cs="Noto Serif"/>
          <w:b/>
          <w:bCs/>
          <w:kern w:val="0"/>
          <w:lang w:eastAsia="uk-UA"/>
          <w14:ligatures w14:val="none"/>
        </w:rPr>
        <w:t xml:space="preserve">План-графік його </w:t>
      </w:r>
      <w:proofErr w:type="spellStart"/>
      <w:r w:rsidRPr="00733265">
        <w:rPr>
          <w:rFonts w:ascii="Noto Serif" w:eastAsia="Times New Roman" w:hAnsi="Noto Serif" w:cs="Noto Serif"/>
          <w:b/>
          <w:bCs/>
          <w:kern w:val="0"/>
          <w:lang w:eastAsia="uk-UA"/>
          <w14:ligatures w14:val="none"/>
        </w:rPr>
        <w:t>імплементації</w:t>
      </w:r>
      <w:r w:rsidRPr="00733265">
        <w:rPr>
          <w:rFonts w:ascii="Noto Serif" w:eastAsia="Times New Roman" w:hAnsi="Noto Serif" w:cs="Noto Serif"/>
          <w:kern w:val="0"/>
          <w:lang w:eastAsia="uk-UA"/>
          <w14:ligatures w14:val="none"/>
        </w:rPr>
        <w:t>,затверджений</w:t>
      </w:r>
      <w:proofErr w:type="spellEnd"/>
      <w:r w:rsidRPr="00733265">
        <w:rPr>
          <w:rFonts w:ascii="Noto Serif" w:eastAsia="Times New Roman" w:hAnsi="Noto Serif" w:cs="Noto Serif"/>
          <w:kern w:val="0"/>
          <w:lang w:eastAsia="uk-UA"/>
          <w14:ligatures w14:val="none"/>
        </w:rPr>
        <w:t xml:space="preserve"> на засіданні Підкомітету № 6 «Юстиція, свобода та безпека» Комітету з питань співробітництва між Україною та ЄС (10 квітня 2008 р., м. Київ).</w:t>
      </w:r>
    </w:p>
    <w:p w14:paraId="3BE1A329"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Ці документи охоплюють співробітництво по 15 ключових напрямах, зокрема: міграція, притулок, управління кордонами, візи, безпека документів, боротьба з організованою злочинністю та тероризмом, боротьба з відмиванням грошей, включаючи протидію фінансуванню тероризму, боротьба з торгівлею людьми, наркотиками, корупцією, правове співробітництво у цивільних та кримінальних справах тощо.</w:t>
      </w:r>
    </w:p>
    <w:p w14:paraId="5A3D336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Аналіз виконання спільних заходів, визначених Планом-графіком, проводиться щорічно у рамках засідання Підкомітету № 6, які проводяться по черзі в Україні та Брюсселі.</w:t>
      </w:r>
    </w:p>
    <w:p w14:paraId="78EA22F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94CB6DF"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4229367E" wp14:editId="421C49E1">
            <wp:extent cx="2862580" cy="1987550"/>
            <wp:effectExtent l="0" t="0" r="0" b="0"/>
            <wp:docPr id="28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2580" cy="1987550"/>
                    </a:xfrm>
                    <a:prstGeom prst="rect">
                      <a:avLst/>
                    </a:prstGeom>
                    <a:noFill/>
                    <a:ln>
                      <a:noFill/>
                    </a:ln>
                  </pic:spPr>
                </pic:pic>
              </a:graphicData>
            </a:graphic>
          </wp:inline>
        </w:drawing>
      </w:r>
    </w:p>
    <w:p w14:paraId="1F107223"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 однією з найбільш важливих сфер взаємодії України з Європейським Союзом є безвізовий діалог щодо перспективи запровадження безвізового режиму для короткострокових поїздок громадян України до країн Шенгенської зони.</w:t>
      </w:r>
    </w:p>
    <w:p w14:paraId="54F77C7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lastRenderedPageBreak/>
        <w:t>На Паризькому саміті Україна-ЄС у вересні 2008 року було започатковано діалог щодо лібералізації ЄС візового режиму для українських громадян. На саміті Україна-ЄС у листопаді 2010 року нашій державі було представлено План дій щодо лібералізації ЄС візового режиму для України. План дій розроблено за логікою та філософією «дорожніх карт», які були надані ЄС балканським країнам і вже привели їх до скасування візового режиму з Євросоюзом. Україна стала першою країною з-поза Балканського регіону, якій Євросоюз надав подібний документ.</w:t>
      </w:r>
    </w:p>
    <w:p w14:paraId="356F7DB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Зокрема, План дій містить перелік конкретних критеріїв ЄС за чотирма блоками:</w:t>
      </w:r>
    </w:p>
    <w:p w14:paraId="1137633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24B08DD" wp14:editId="239FF51B">
            <wp:extent cx="149225" cy="149225"/>
            <wp:effectExtent l="0" t="0" r="3175" b="3175"/>
            <wp:docPr id="286" name="Рисунок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xml:space="preserve">  безпека документів, включаючи </w:t>
      </w:r>
      <w:proofErr w:type="spellStart"/>
      <w:r w:rsidRPr="00733265">
        <w:rPr>
          <w:rFonts w:ascii="Noto Serif" w:eastAsia="Times New Roman" w:hAnsi="Noto Serif" w:cs="Noto Serif"/>
          <w:color w:val="000000"/>
          <w:kern w:val="0"/>
          <w:lang w:eastAsia="uk-UA"/>
          <w14:ligatures w14:val="none"/>
        </w:rPr>
        <w:t>біометрику</w:t>
      </w:r>
      <w:proofErr w:type="spellEnd"/>
      <w:r w:rsidRPr="00733265">
        <w:rPr>
          <w:rFonts w:ascii="Noto Serif" w:eastAsia="Times New Roman" w:hAnsi="Noto Serif" w:cs="Noto Serif"/>
          <w:color w:val="000000"/>
          <w:kern w:val="0"/>
          <w:lang w:eastAsia="uk-UA"/>
          <w14:ligatures w14:val="none"/>
        </w:rPr>
        <w:t>;</w:t>
      </w:r>
    </w:p>
    <w:p w14:paraId="14E657F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A8AD916" wp14:editId="4BB6F762">
            <wp:extent cx="149225" cy="149225"/>
            <wp:effectExtent l="0" t="0" r="3175" b="3175"/>
            <wp:docPr id="287"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протидія нелегальній міграції, включаючи реадмісію;</w:t>
      </w:r>
    </w:p>
    <w:p w14:paraId="63C8E1B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53D5500" wp14:editId="5CF2B824">
            <wp:extent cx="149225" cy="149225"/>
            <wp:effectExtent l="0" t="0" r="3175" b="3175"/>
            <wp:docPr id="288"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забезпечення громадського порядку та безпеки;</w:t>
      </w:r>
    </w:p>
    <w:p w14:paraId="2C88EF0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68F206E" wp14:editId="1BDC169F">
            <wp:extent cx="149225" cy="149225"/>
            <wp:effectExtent l="0" t="0" r="3175" b="3175"/>
            <wp:docPr id="289" name="Рисунок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забезпечення основоположних прав і свобод людини.</w:t>
      </w:r>
    </w:p>
    <w:p w14:paraId="1C475B9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План дій виконується у дві фази: в рамках І-</w:t>
      </w:r>
      <w:proofErr w:type="spellStart"/>
      <w:r w:rsidRPr="00733265">
        <w:rPr>
          <w:rFonts w:ascii="Noto Serif" w:eastAsia="Times New Roman" w:hAnsi="Noto Serif" w:cs="Noto Serif"/>
          <w:color w:val="000000"/>
          <w:kern w:val="0"/>
          <w:lang w:eastAsia="uk-UA"/>
          <w14:ligatures w14:val="none"/>
        </w:rPr>
        <w:t>ої</w:t>
      </w:r>
      <w:proofErr w:type="spellEnd"/>
      <w:r w:rsidRPr="00733265">
        <w:rPr>
          <w:rFonts w:ascii="Noto Serif" w:eastAsia="Times New Roman" w:hAnsi="Noto Serif" w:cs="Noto Serif"/>
          <w:color w:val="000000"/>
          <w:kern w:val="0"/>
          <w:lang w:eastAsia="uk-UA"/>
          <w14:ligatures w14:val="none"/>
        </w:rPr>
        <w:t> (законодавчої) у відповідність до стандартів ЄС приводиться законодавство та нормативні акти у відповідних сферах; під час ІІ-</w:t>
      </w:r>
      <w:proofErr w:type="spellStart"/>
      <w:r w:rsidRPr="00733265">
        <w:rPr>
          <w:rFonts w:ascii="Noto Serif" w:eastAsia="Times New Roman" w:hAnsi="Noto Serif" w:cs="Noto Serif"/>
          <w:color w:val="000000"/>
          <w:kern w:val="0"/>
          <w:lang w:eastAsia="uk-UA"/>
          <w14:ligatures w14:val="none"/>
        </w:rPr>
        <w:t>ої</w:t>
      </w:r>
      <w:proofErr w:type="spellEnd"/>
      <w:r w:rsidRPr="00733265">
        <w:rPr>
          <w:rFonts w:ascii="Noto Serif" w:eastAsia="Times New Roman" w:hAnsi="Noto Serif" w:cs="Noto Serif"/>
          <w:color w:val="000000"/>
          <w:kern w:val="0"/>
          <w:lang w:eastAsia="uk-UA"/>
          <w14:ligatures w14:val="none"/>
        </w:rPr>
        <w:t> (</w:t>
      </w:r>
      <w:proofErr w:type="spellStart"/>
      <w:r w:rsidRPr="00733265">
        <w:rPr>
          <w:rFonts w:ascii="Noto Serif" w:eastAsia="Times New Roman" w:hAnsi="Noto Serif" w:cs="Noto Serif"/>
          <w:color w:val="000000"/>
          <w:kern w:val="0"/>
          <w:lang w:eastAsia="uk-UA"/>
          <w14:ligatures w14:val="none"/>
        </w:rPr>
        <w:t>імплементаційної</w:t>
      </w:r>
      <w:proofErr w:type="spellEnd"/>
      <w:r w:rsidRPr="00733265">
        <w:rPr>
          <w:rFonts w:ascii="Noto Serif" w:eastAsia="Times New Roman" w:hAnsi="Noto Serif" w:cs="Noto Serif"/>
          <w:color w:val="000000"/>
          <w:kern w:val="0"/>
          <w:lang w:eastAsia="uk-UA"/>
          <w14:ligatures w14:val="none"/>
        </w:rPr>
        <w:t>) – організовується практичне виконання оновленого законодавства та забезпечується функціонування, відповідно до стандартів ЄС, </w:t>
      </w:r>
      <w:proofErr w:type="spellStart"/>
      <w:r w:rsidRPr="00733265">
        <w:rPr>
          <w:rFonts w:ascii="Noto Serif" w:eastAsia="Times New Roman" w:hAnsi="Noto Serif" w:cs="Noto Serif"/>
          <w:color w:val="000000"/>
          <w:kern w:val="0"/>
          <w:lang w:eastAsia="uk-UA"/>
          <w14:ligatures w14:val="none"/>
        </w:rPr>
        <w:t>національноїпрактики</w:t>
      </w:r>
      <w:proofErr w:type="spellEnd"/>
      <w:r w:rsidRPr="00733265">
        <w:rPr>
          <w:rFonts w:ascii="Noto Serif" w:eastAsia="Times New Roman" w:hAnsi="Noto Serif" w:cs="Noto Serif"/>
          <w:color w:val="000000"/>
          <w:kern w:val="0"/>
          <w:lang w:eastAsia="uk-UA"/>
          <w14:ligatures w14:val="none"/>
        </w:rPr>
        <w:t xml:space="preserve"> у сферах, охоплених Планом дій.</w:t>
      </w:r>
    </w:p>
    <w:p w14:paraId="7891FE4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23 червня 2014 р. Рада ЄС із закордонних справ ухвалила рішення про завершення виконання Україною першої і перехід до другої фази Плану дій щодо лібералізації ЄС візового режиму для України.</w:t>
      </w:r>
    </w:p>
    <w:p w14:paraId="13D4FA1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На сьогодні Україна завершує виконання Рекомендацій Єврокомісії відповідно до П’ятої доповіді про виконання Україною Плану дій щодо лібералізації візового режиму.</w:t>
      </w:r>
    </w:p>
    <w:p w14:paraId="6C8BB1A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62B3753"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655C927F" wp14:editId="2B6D0FF1">
            <wp:extent cx="2862580" cy="2077085"/>
            <wp:effectExtent l="0" t="0" r="0" b="0"/>
            <wp:docPr id="290"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2580" cy="2077085"/>
                    </a:xfrm>
                    <a:prstGeom prst="rect">
                      <a:avLst/>
                    </a:prstGeom>
                    <a:noFill/>
                    <a:ln>
                      <a:noFill/>
                    </a:ln>
                  </pic:spPr>
                </pic:pic>
              </a:graphicData>
            </a:graphic>
          </wp:inline>
        </w:drawing>
      </w:r>
    </w:p>
    <w:p w14:paraId="02F6351C"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 визначено положеннями статті 27 Угоди про Асоціацію між Україною та ЄС </w:t>
      </w:r>
      <w:r w:rsidRPr="00733265">
        <w:rPr>
          <w:rFonts w:ascii="Noto Serif" w:eastAsia="Times New Roman" w:hAnsi="Noto Serif" w:cs="Noto Serif"/>
          <w:i/>
          <w:iCs/>
          <w:kern w:val="0"/>
          <w:lang w:eastAsia="uk-UA"/>
          <w14:ligatures w14:val="none"/>
        </w:rPr>
        <w:t>«Транскордонне та регіональне співробітництво»</w:t>
      </w:r>
      <w:r w:rsidRPr="00733265">
        <w:rPr>
          <w:rFonts w:ascii="Noto Serif" w:eastAsia="Times New Roman" w:hAnsi="Noto Serif" w:cs="Noto Serif"/>
          <w:kern w:val="0"/>
          <w:lang w:eastAsia="uk-UA"/>
          <w14:ligatures w14:val="none"/>
        </w:rPr>
        <w:t>. Співробітництво між Україною та ЄС у сфері регіонального розвитку зосереджено на наступних напрямах:</w:t>
      </w:r>
    </w:p>
    <w:p w14:paraId="3A60315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209696B" wp14:editId="0E1DF1AF">
            <wp:extent cx="149225" cy="149225"/>
            <wp:effectExtent l="0" t="0" r="3175" b="3175"/>
            <wp:docPr id="291" name="Рисунок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Імплементація Меморандуму про взаєморозуміння для встановлення діалогу у сфері регіональної політики;</w:t>
      </w:r>
    </w:p>
    <w:p w14:paraId="17528D7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2DCD88D0" wp14:editId="41065CEB">
            <wp:extent cx="149225" cy="149225"/>
            <wp:effectExtent l="0" t="0" r="3175" b="3175"/>
            <wp:docPr id="292" name="Рисунок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Налагодження взаємодії між представниками місцевої та регіональної влади України та ЄС в рамках Комітету регіонів ЄС (КР);</w:t>
      </w:r>
    </w:p>
    <w:p w14:paraId="550AB09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2C27768B" wp14:editId="00FB7DCE">
            <wp:extent cx="149225" cy="149225"/>
            <wp:effectExtent l="0" t="0" r="3175" b="3175"/>
            <wp:docPr id="293" name="Рисунок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Реалізація Спільної ініціативи ЄС щодо Криму (призупинена на прохання української сторони);</w:t>
      </w:r>
    </w:p>
    <w:p w14:paraId="1624F22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B15EA01" wp14:editId="22BEFB9D">
            <wp:extent cx="149225" cy="149225"/>
            <wp:effectExtent l="0" t="0" r="3175" b="3175"/>
            <wp:docPr id="294" name="Рисунок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Реалізація на регіональному рівні проектів за рахунок фінансових інструментів ЄС (Європейський інструмент сусідства і партнерства) та фінансових установ ЄС (Європейський інвестиційний банк, Європейський банк реконструкції та розвитку);</w:t>
      </w:r>
    </w:p>
    <w:p w14:paraId="2269F06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3C76D69" wp14:editId="64BD1189">
            <wp:extent cx="149225" cy="149225"/>
            <wp:effectExtent l="0" t="0" r="3175" b="3175"/>
            <wp:docPr id="295" name="Рисунок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xml:space="preserve">  Участь в реалізації Пілотної програми регіонального розвитку Східного партнерства (ППРР </w:t>
      </w:r>
      <w:proofErr w:type="spellStart"/>
      <w:r w:rsidRPr="00733265">
        <w:rPr>
          <w:rFonts w:ascii="Noto Serif" w:eastAsia="Times New Roman" w:hAnsi="Noto Serif" w:cs="Noto Serif"/>
          <w:color w:val="000000"/>
          <w:kern w:val="0"/>
          <w:lang w:eastAsia="uk-UA"/>
          <w14:ligatures w14:val="none"/>
        </w:rPr>
        <w:t>СхП</w:t>
      </w:r>
      <w:proofErr w:type="spellEnd"/>
      <w:r w:rsidRPr="00733265">
        <w:rPr>
          <w:rFonts w:ascii="Noto Serif" w:eastAsia="Times New Roman" w:hAnsi="Noto Serif" w:cs="Noto Serif"/>
          <w:color w:val="000000"/>
          <w:kern w:val="0"/>
          <w:lang w:eastAsia="uk-UA"/>
          <w14:ligatures w14:val="none"/>
        </w:rPr>
        <w:t>);</w:t>
      </w:r>
    </w:p>
    <w:p w14:paraId="5539328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4569E0B" wp14:editId="49F9EDB4">
            <wp:extent cx="149225" cy="149225"/>
            <wp:effectExtent l="0" t="0" r="3175" b="3175"/>
            <wp:docPr id="296" name="Рисунок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Участь в реалізації Стратегії ЄС щодо Дунайського регіону (Дунайська стратегія);</w:t>
      </w:r>
    </w:p>
    <w:p w14:paraId="0E554AD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420E6D6" wp14:editId="4D446E6B">
            <wp:extent cx="149225" cy="149225"/>
            <wp:effectExtent l="0" t="0" r="3175" b="3175"/>
            <wp:docPr id="297"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Залучення регіонів України до діяльності європейських регіональних асоціацій, зокрема Асамблеї європейських регіонів (</w:t>
      </w:r>
      <w:proofErr w:type="spellStart"/>
      <w:r w:rsidRPr="00733265">
        <w:rPr>
          <w:rFonts w:ascii="Noto Serif" w:eastAsia="Times New Roman" w:hAnsi="Noto Serif" w:cs="Noto Serif"/>
          <w:color w:val="000000"/>
          <w:kern w:val="0"/>
          <w:lang w:eastAsia="uk-UA"/>
          <w14:ligatures w14:val="none"/>
        </w:rPr>
        <w:t>Assembly</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of</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European</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Regions</w:t>
      </w:r>
      <w:proofErr w:type="spellEnd"/>
      <w:r w:rsidRPr="00733265">
        <w:rPr>
          <w:rFonts w:ascii="Noto Serif" w:eastAsia="Times New Roman" w:hAnsi="Noto Serif" w:cs="Noto Serif"/>
          <w:color w:val="000000"/>
          <w:kern w:val="0"/>
          <w:lang w:eastAsia="uk-UA"/>
          <w14:ligatures w14:val="none"/>
        </w:rPr>
        <w:t xml:space="preserve">), Ради європейський </w:t>
      </w:r>
      <w:r w:rsidRPr="00733265">
        <w:rPr>
          <w:rFonts w:ascii="Noto Serif" w:eastAsia="Times New Roman" w:hAnsi="Noto Serif" w:cs="Noto Serif"/>
          <w:color w:val="000000"/>
          <w:kern w:val="0"/>
          <w:lang w:eastAsia="uk-UA"/>
          <w14:ligatures w14:val="none"/>
        </w:rPr>
        <w:lastRenderedPageBreak/>
        <w:t>муніципалітетів та регіонів (</w:t>
      </w:r>
      <w:proofErr w:type="spellStart"/>
      <w:r w:rsidRPr="00733265">
        <w:rPr>
          <w:rFonts w:ascii="Noto Serif" w:eastAsia="Times New Roman" w:hAnsi="Noto Serif" w:cs="Noto Serif"/>
          <w:color w:val="000000"/>
          <w:kern w:val="0"/>
          <w:lang w:eastAsia="uk-UA"/>
          <w14:ligatures w14:val="none"/>
        </w:rPr>
        <w:t>Council</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of</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European</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municipalities</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and</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regions</w:t>
      </w:r>
      <w:proofErr w:type="spellEnd"/>
      <w:r w:rsidRPr="00733265">
        <w:rPr>
          <w:rFonts w:ascii="Noto Serif" w:eastAsia="Times New Roman" w:hAnsi="Noto Serif" w:cs="Noto Serif"/>
          <w:color w:val="000000"/>
          <w:kern w:val="0"/>
          <w:lang w:eastAsia="uk-UA"/>
          <w14:ligatures w14:val="none"/>
        </w:rPr>
        <w:t>), Конференції європейських законодавчих асамблей (</w:t>
      </w:r>
      <w:proofErr w:type="spellStart"/>
      <w:r w:rsidRPr="00733265">
        <w:rPr>
          <w:rFonts w:ascii="Noto Serif" w:eastAsia="Times New Roman" w:hAnsi="Noto Serif" w:cs="Noto Serif"/>
          <w:color w:val="000000"/>
          <w:kern w:val="0"/>
          <w:lang w:eastAsia="uk-UA"/>
          <w14:ligatures w14:val="none"/>
        </w:rPr>
        <w:t>Conference</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of</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European</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RegionalLegislative</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Assemblies</w:t>
      </w:r>
      <w:proofErr w:type="spellEnd"/>
      <w:r w:rsidRPr="00733265">
        <w:rPr>
          <w:rFonts w:ascii="Noto Serif" w:eastAsia="Times New Roman" w:hAnsi="Noto Serif" w:cs="Noto Serif"/>
          <w:color w:val="000000"/>
          <w:kern w:val="0"/>
          <w:lang w:eastAsia="uk-UA"/>
          <w14:ligatures w14:val="none"/>
        </w:rPr>
        <w:t>), Асоціації європейських прикордонних регіонів (</w:t>
      </w:r>
      <w:proofErr w:type="spellStart"/>
      <w:r w:rsidRPr="00733265">
        <w:rPr>
          <w:rFonts w:ascii="Noto Serif" w:eastAsia="Times New Roman" w:hAnsi="Noto Serif" w:cs="Noto Serif"/>
          <w:color w:val="000000"/>
          <w:kern w:val="0"/>
          <w:lang w:eastAsia="uk-UA"/>
          <w14:ligatures w14:val="none"/>
        </w:rPr>
        <w:t>Association</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of</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European</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Border</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Regions</w:t>
      </w:r>
      <w:proofErr w:type="spellEnd"/>
      <w:r w:rsidRPr="00733265">
        <w:rPr>
          <w:rFonts w:ascii="Noto Serif" w:eastAsia="Times New Roman" w:hAnsi="Noto Serif" w:cs="Noto Serif"/>
          <w:color w:val="000000"/>
          <w:kern w:val="0"/>
          <w:lang w:eastAsia="uk-UA"/>
          <w14:ligatures w14:val="none"/>
        </w:rPr>
        <w:t>), Конференції периферійних морських регіонів (</w:t>
      </w:r>
      <w:proofErr w:type="spellStart"/>
      <w:r w:rsidRPr="00733265">
        <w:rPr>
          <w:rFonts w:ascii="Noto Serif" w:eastAsia="Times New Roman" w:hAnsi="Noto Serif" w:cs="Noto Serif"/>
          <w:color w:val="000000"/>
          <w:kern w:val="0"/>
          <w:lang w:eastAsia="uk-UA"/>
          <w14:ligatures w14:val="none"/>
        </w:rPr>
        <w:t>Conference</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of</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Peripheral</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Maritime</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Regions</w:t>
      </w:r>
      <w:proofErr w:type="spellEnd"/>
      <w:r w:rsidRPr="00733265">
        <w:rPr>
          <w:rFonts w:ascii="Noto Serif" w:eastAsia="Times New Roman" w:hAnsi="Noto Serif" w:cs="Noto Serif"/>
          <w:color w:val="000000"/>
          <w:kern w:val="0"/>
          <w:lang w:eastAsia="uk-UA"/>
          <w14:ligatures w14:val="none"/>
        </w:rPr>
        <w:t>) тощо.</w:t>
      </w:r>
    </w:p>
    <w:p w14:paraId="7924674D"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554CCE12" wp14:editId="7E8A6226">
            <wp:extent cx="2862580" cy="1997710"/>
            <wp:effectExtent l="0" t="0" r="0" b="2540"/>
            <wp:docPr id="29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2580" cy="1997710"/>
                    </a:xfrm>
                    <a:prstGeom prst="rect">
                      <a:avLst/>
                    </a:prstGeom>
                    <a:noFill/>
                    <a:ln>
                      <a:noFill/>
                    </a:ln>
                  </pic:spPr>
                </pic:pic>
              </a:graphicData>
            </a:graphic>
          </wp:inline>
        </w:drawing>
      </w:r>
    </w:p>
    <w:p w14:paraId="049BEF56"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 підсумки першого півріччя 2016 року підтвердили сформовану протягом 2015 р. тенденцію виходу двосторонньої торгівлі між Україною та ЄС на перше місце в загальному міжнародному товарообігу України.</w:t>
      </w:r>
    </w:p>
    <w:p w14:paraId="6D395B2E"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У січні-червні 2016 року загальний оборот торгівлі товарами між Україною та Європейським Союзом становив 14188404,9 тис. </w:t>
      </w:r>
      <w:proofErr w:type="spellStart"/>
      <w:r w:rsidRPr="00733265">
        <w:rPr>
          <w:rFonts w:ascii="Noto Serif" w:eastAsia="Times New Roman" w:hAnsi="Noto Serif" w:cs="Noto Serif"/>
          <w:kern w:val="0"/>
          <w:lang w:eastAsia="uk-UA"/>
          <w14:ligatures w14:val="none"/>
        </w:rPr>
        <w:t>дол</w:t>
      </w:r>
      <w:proofErr w:type="spellEnd"/>
      <w:r w:rsidRPr="00733265">
        <w:rPr>
          <w:rFonts w:ascii="Noto Serif" w:eastAsia="Times New Roman" w:hAnsi="Noto Serif" w:cs="Noto Serif"/>
          <w:kern w:val="0"/>
          <w:lang w:eastAsia="uk-UA"/>
          <w14:ligatures w14:val="none"/>
        </w:rPr>
        <w:t>. США, що на 4,6% більше за цей показник за період січень-червень 2015 року.</w:t>
      </w:r>
    </w:p>
    <w:p w14:paraId="4C6BE29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Згідно з актуалізованими даними Держкомстату </w:t>
      </w:r>
      <w:r w:rsidRPr="00733265">
        <w:rPr>
          <w:rFonts w:ascii="Noto Serif" w:eastAsia="Times New Roman" w:hAnsi="Noto Serif" w:cs="Noto Serif"/>
          <w:b/>
          <w:bCs/>
          <w:color w:val="000000"/>
          <w:kern w:val="0"/>
          <w:lang w:eastAsia="uk-UA"/>
          <w14:ligatures w14:val="none"/>
        </w:rPr>
        <w:t>обсяг експорту товарів </w:t>
      </w:r>
      <w:r w:rsidRPr="00733265">
        <w:rPr>
          <w:rFonts w:ascii="Noto Serif" w:eastAsia="Times New Roman" w:hAnsi="Noto Serif" w:cs="Noto Serif"/>
          <w:color w:val="000000"/>
          <w:kern w:val="0"/>
          <w:lang w:eastAsia="uk-UA"/>
          <w14:ligatures w14:val="none"/>
        </w:rPr>
        <w:t>до країн ЄС у січні-червні 2016 року становив 6516852,4 тис. </w:t>
      </w:r>
      <w:proofErr w:type="spellStart"/>
      <w:r w:rsidRPr="00733265">
        <w:rPr>
          <w:rFonts w:ascii="Noto Serif" w:eastAsia="Times New Roman" w:hAnsi="Noto Serif" w:cs="Noto Serif"/>
          <w:color w:val="000000"/>
          <w:kern w:val="0"/>
          <w:lang w:eastAsia="uk-UA"/>
          <w14:ligatures w14:val="none"/>
        </w:rPr>
        <w:t>дол</w:t>
      </w:r>
      <w:proofErr w:type="spellEnd"/>
      <w:r w:rsidRPr="00733265">
        <w:rPr>
          <w:rFonts w:ascii="Noto Serif" w:eastAsia="Times New Roman" w:hAnsi="Noto Serif" w:cs="Noto Serif"/>
          <w:color w:val="000000"/>
          <w:kern w:val="0"/>
          <w:lang w:eastAsia="uk-UA"/>
          <w14:ligatures w14:val="none"/>
        </w:rPr>
        <w:t>. США, що на 6,7% більше за обсяги експорту за аналогічний період 2015 року.</w:t>
      </w:r>
    </w:p>
    <w:p w14:paraId="61E1278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Імпорт товарів </w:t>
      </w:r>
      <w:r w:rsidRPr="00733265">
        <w:rPr>
          <w:rFonts w:ascii="Noto Serif" w:eastAsia="Times New Roman" w:hAnsi="Noto Serif" w:cs="Noto Serif"/>
          <w:color w:val="000000"/>
          <w:kern w:val="0"/>
          <w:lang w:eastAsia="uk-UA"/>
          <w14:ligatures w14:val="none"/>
        </w:rPr>
        <w:t>з країн ЄС становив 7671552,5 тис. </w:t>
      </w:r>
      <w:proofErr w:type="spellStart"/>
      <w:r w:rsidRPr="00733265">
        <w:rPr>
          <w:rFonts w:ascii="Noto Serif" w:eastAsia="Times New Roman" w:hAnsi="Noto Serif" w:cs="Noto Serif"/>
          <w:color w:val="000000"/>
          <w:kern w:val="0"/>
          <w:lang w:eastAsia="uk-UA"/>
          <w14:ligatures w14:val="none"/>
        </w:rPr>
        <w:t>дол</w:t>
      </w:r>
      <w:proofErr w:type="spellEnd"/>
      <w:r w:rsidRPr="00733265">
        <w:rPr>
          <w:rFonts w:ascii="Noto Serif" w:eastAsia="Times New Roman" w:hAnsi="Noto Serif" w:cs="Noto Serif"/>
          <w:color w:val="000000"/>
          <w:kern w:val="0"/>
          <w:lang w:eastAsia="uk-UA"/>
          <w14:ligatures w14:val="none"/>
        </w:rPr>
        <w:t>. США, що на 2,8% більше за цей показник за період січень-червень 2015 року.</w:t>
      </w:r>
    </w:p>
    <w:p w14:paraId="15B744D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Таким чином, спостерігається тенденція до поступового збільшення двосторонньої торгівлі між Україною та ЄС</w:t>
      </w:r>
      <w:r w:rsidRPr="00733265">
        <w:rPr>
          <w:rFonts w:ascii="Noto Serif" w:eastAsia="Times New Roman" w:hAnsi="Noto Serif" w:cs="Noto Serif"/>
          <w:color w:val="000000"/>
          <w:kern w:val="0"/>
          <w:vertAlign w:val="superscript"/>
          <w:lang w:eastAsia="uk-UA"/>
          <w14:ligatures w14:val="none"/>
        </w:rPr>
        <w:t> </w:t>
      </w:r>
      <w:hyperlink r:id="rId31" w:tooltip="Більш детально показники див.: Торговельно-економічне співробітництво Україна-ЄС [Електронний ресурс].—Режим доступу: http://ukraine-eu.mfa.gov.ua/ua/ukraine-eu/trade-and-economic/ukraine-eu-trade. — Назва з екрана." w:history="1">
        <w:r w:rsidRPr="00733265">
          <w:rPr>
            <w:rFonts w:ascii="Noto Serif" w:eastAsia="Times New Roman" w:hAnsi="Noto Serif" w:cs="Noto Serif"/>
            <w:color w:val="0000FF"/>
            <w:kern w:val="0"/>
            <w:u w:val="single"/>
            <w:vertAlign w:val="superscript"/>
            <w:lang w:eastAsia="uk-UA"/>
            <w14:ligatures w14:val="none"/>
          </w:rPr>
          <w:t>47</w:t>
        </w:r>
      </w:hyperlink>
      <w:r w:rsidRPr="00733265">
        <w:rPr>
          <w:rFonts w:ascii="Noto Serif" w:eastAsia="Times New Roman" w:hAnsi="Noto Serif" w:cs="Noto Serif"/>
          <w:color w:val="000000"/>
          <w:kern w:val="0"/>
          <w:lang w:eastAsia="uk-UA"/>
          <w14:ligatures w14:val="none"/>
        </w:rPr>
        <w:t>.</w:t>
      </w:r>
    </w:p>
    <w:p w14:paraId="32D97055"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1DE4554D" wp14:editId="5BA92A70">
            <wp:extent cx="2862580" cy="1918335"/>
            <wp:effectExtent l="0" t="0" r="0" b="5715"/>
            <wp:docPr id="29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2580" cy="1918335"/>
                    </a:xfrm>
                    <a:prstGeom prst="rect">
                      <a:avLst/>
                    </a:prstGeom>
                    <a:noFill/>
                    <a:ln>
                      <a:noFill/>
                    </a:ln>
                  </pic:spPr>
                </pic:pic>
              </a:graphicData>
            </a:graphic>
          </wp:inline>
        </w:drawing>
      </w:r>
    </w:p>
    <w:p w14:paraId="5AB7407F"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 стратегія співпраці між Україною та ЄС у сфері енергетики визначається у Меморандумі про взаєморозуміння між Україною та ЄС щодо співробітництва у сфері енергетики (Меморандум), укладеному 1 грудня 2005 року.</w:t>
      </w:r>
    </w:p>
    <w:p w14:paraId="43323D40"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Положеннями Меморандуму передбачена реалізація дорожніх карт за напрямами: ядерна безпека; інтеграція ринків електроенергії та газу; підвищення безпеки енергопостачання і транзиту вуглеводнів; підвищення стандартів техніки безпеки та охорони довкілля у вугільній галузі; енергоефективність.</w:t>
      </w:r>
    </w:p>
    <w:p w14:paraId="7964966A"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За роки виконання Меморандуму досягнуто наступних результатів за напрямами, передбаченими в рамках згаданих вище дорожніх карт.</w:t>
      </w:r>
    </w:p>
    <w:p w14:paraId="22EB5C5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3A433F5E"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lastRenderedPageBreak/>
        <w:drawing>
          <wp:inline distT="0" distB="0" distL="0" distR="0" wp14:anchorId="03CDDEC3" wp14:editId="0BE78AAD">
            <wp:extent cx="1619885" cy="1003935"/>
            <wp:effectExtent l="0" t="0" r="0" b="5715"/>
            <wp:docPr id="30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885" cy="1003935"/>
                    </a:xfrm>
                    <a:prstGeom prst="rect">
                      <a:avLst/>
                    </a:prstGeom>
                    <a:noFill/>
                    <a:ln>
                      <a:noFill/>
                    </a:ln>
                  </pic:spPr>
                </pic:pic>
              </a:graphicData>
            </a:graphic>
          </wp:inline>
        </w:drawing>
      </w:r>
    </w:p>
    <w:p w14:paraId="40E2BBFC"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У контексті подій на атомній електростанції «Фукусіма-1» в Японії 23 червня 2011р. Україна приєдналася до Спільної декларації Європейської Комісії та країн-сусідів ЄС щодо здійснення цільової оцінки потенціалу безпеки АЕС на своїй території. В Україні розроблено додаткові заходи щодо підвищення безпеки на АЕС, які включені до «Комплексної (зведеної) програми підвищення безпеки енергоблоків атомних електростанцій», реалізація якої розпочата ДП НАЕК «Енергоатом» і триватиме до 2017 року.</w:t>
      </w:r>
    </w:p>
    <w:p w14:paraId="55528D4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CBFCC4A" wp14:editId="750D0A9F">
            <wp:extent cx="149225" cy="149225"/>
            <wp:effectExtent l="0" t="0" r="3175" b="3175"/>
            <wp:docPr id="301"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 оцінками НАЕК «Енергоатом» витрати на підвищення безпеки АЕС в Україні складуть приблизно 1,2 млрд. євро.</w:t>
      </w:r>
    </w:p>
    <w:p w14:paraId="5B03021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05D6A81" wp14:editId="6ACB8A56">
            <wp:extent cx="149225" cy="149225"/>
            <wp:effectExtent l="0" t="0" r="3175" b="3175"/>
            <wp:docPr id="302" name="Рисунок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12 березня 2013 р. ЄБРР виділив Україні 300 млн. євро фінансування на реалізацію зазначеної програми. 7 серпня 2013 року підписано кредитну та гарантійну угоди з Євратомом на суму 300 млн. євро.</w:t>
      </w:r>
    </w:p>
    <w:p w14:paraId="1D73D44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D86FD48" wp14:editId="5EAF6655">
            <wp:extent cx="149225" cy="149225"/>
            <wp:effectExtent l="0" t="0" r="3175" b="3175"/>
            <wp:docPr id="303" name="Рисунок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Реалізуються проекти, спрямовані на приведення в екологічно безпечний стан майданчика Чорнобильської АЕС, згідно з переглянутим кошторисом та графіком. Внесок ЄС до реалізації проектів, які фінансуються Чорнобильським фондом «Укриття» та Рахунком ядерної безпеки, становить понад 400 млн. євро (близько 20% </w:t>
      </w:r>
      <w:proofErr w:type="spellStart"/>
      <w:r w:rsidRPr="00733265">
        <w:rPr>
          <w:rFonts w:ascii="Noto Serif" w:eastAsia="Times New Roman" w:hAnsi="Noto Serif" w:cs="Noto Serif"/>
          <w:color w:val="000000"/>
          <w:kern w:val="0"/>
          <w:lang w:eastAsia="uk-UA"/>
          <w14:ligatures w14:val="none"/>
        </w:rPr>
        <w:t>відзагальних</w:t>
      </w:r>
      <w:proofErr w:type="spellEnd"/>
      <w:r w:rsidRPr="00733265">
        <w:rPr>
          <w:rFonts w:ascii="Noto Serif" w:eastAsia="Times New Roman" w:hAnsi="Noto Serif" w:cs="Noto Serif"/>
          <w:color w:val="000000"/>
          <w:kern w:val="0"/>
          <w:lang w:eastAsia="uk-UA"/>
          <w14:ligatures w14:val="none"/>
        </w:rPr>
        <w:t xml:space="preserve"> витрат, обсяг яких оцінюється на рівні 2 млрд. євро).</w:t>
      </w:r>
    </w:p>
    <w:p w14:paraId="7FA413F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9F5A70B" wp14:editId="30161482">
            <wp:extent cx="149225" cy="149225"/>
            <wp:effectExtent l="0" t="0" r="3175" b="3175"/>
            <wp:docPr id="304"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 початку грудня 2014 р. ЄБРР схвалив виділення кредиту в обсязі 350 млн. євро на фінансування будівництва проекту «Укриття» на Чорнобильській АЕС.</w:t>
      </w:r>
    </w:p>
    <w:p w14:paraId="549ED8F3"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5A1D8BF4" wp14:editId="3A8EE97B">
            <wp:extent cx="2196465" cy="1183005"/>
            <wp:effectExtent l="0" t="0" r="0" b="0"/>
            <wp:docPr id="30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6465" cy="1183005"/>
                    </a:xfrm>
                    <a:prstGeom prst="rect">
                      <a:avLst/>
                    </a:prstGeom>
                    <a:noFill/>
                    <a:ln>
                      <a:noFill/>
                    </a:ln>
                  </pic:spPr>
                </pic:pic>
              </a:graphicData>
            </a:graphic>
          </wp:inline>
        </w:drawing>
      </w:r>
    </w:p>
    <w:p w14:paraId="6CF5C39B"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Протягом 2014 року Україна головувала у Енергетичному Співтоваристві, повноправного членства в якому наша держава набула з 1 лютого 2011 р. Одними з першочергових кроків стали заходи з ухвалення законів України «Про засади функціонування ринку газу» та «Про засади функціонування ринку електричної енергії», а також постанови КМУ «Про невідкладні заходи щодо реформування системи управління Єдиною газотранспортною системою України», яка передбачає поділ НАК «Нафтогаз України» і створення публічних акціонерних товариств «Магістральні газопроводи України» та «Підземні газові сховища України».</w:t>
      </w:r>
    </w:p>
    <w:p w14:paraId="2B5E0FA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У березні 2015 р. КМУ затверджено узгоджений зі Світовим банком та Секретаріатом Енергетичного Співтовариства План реформування газового сектору, яким передбачено проведення реструктуризації НАК «Нафтогаз України».</w:t>
      </w:r>
    </w:p>
    <w:p w14:paraId="528AC3A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Продовжується підготовка щодо інтеграції Об’єднаної енергетичної системи України з мережею ENTSO-E (Європейська мережа системних операторів з передачі електроенергії), що дозволить українським компаніям-виробникам електроенергії безперешкодно експортувати електроенергію до країн Центральної та Південно-</w:t>
      </w:r>
      <w:proofErr w:type="spellStart"/>
      <w:r w:rsidRPr="00733265">
        <w:rPr>
          <w:rFonts w:ascii="Noto Serif" w:eastAsia="Times New Roman" w:hAnsi="Noto Serif" w:cs="Noto Serif"/>
          <w:color w:val="000000"/>
          <w:kern w:val="0"/>
          <w:lang w:eastAsia="uk-UA"/>
          <w14:ligatures w14:val="none"/>
        </w:rPr>
        <w:t>СхідноїЄвропи</w:t>
      </w:r>
      <w:proofErr w:type="spellEnd"/>
      <w:r w:rsidRPr="00733265">
        <w:rPr>
          <w:rFonts w:ascii="Noto Serif" w:eastAsia="Times New Roman" w:hAnsi="Noto Serif" w:cs="Noto Serif"/>
          <w:color w:val="000000"/>
          <w:kern w:val="0"/>
          <w:lang w:eastAsia="uk-UA"/>
          <w14:ligatures w14:val="none"/>
        </w:rPr>
        <w:t xml:space="preserve"> в режимі реального часу та регуляторному режимі передачі електроенергії на основі стандартів ЄС.</w:t>
      </w:r>
    </w:p>
    <w:p w14:paraId="30806C35"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lastRenderedPageBreak/>
        <w:drawing>
          <wp:inline distT="0" distB="0" distL="0" distR="0" wp14:anchorId="179FE55C" wp14:editId="6C2EAD72">
            <wp:extent cx="2196465" cy="1590040"/>
            <wp:effectExtent l="0" t="0" r="0" b="0"/>
            <wp:docPr id="30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6465" cy="1590040"/>
                    </a:xfrm>
                    <a:prstGeom prst="rect">
                      <a:avLst/>
                    </a:prstGeom>
                    <a:noFill/>
                    <a:ln>
                      <a:noFill/>
                    </a:ln>
                  </pic:spPr>
                </pic:pic>
              </a:graphicData>
            </a:graphic>
          </wp:inline>
        </w:drawing>
      </w:r>
    </w:p>
    <w:p w14:paraId="49C3E9DF"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 xml:space="preserve">українською стороною було ініційовано проект «Модернізація та реконструкція магістрального  газопроводу  Уренгой–Помари–Ужгород» із залученням коштів міжнародних фінансових інституцій, який передбачає повну заміну труб на 120 кілометрах газогону і модернізацію двох компресорних  станцій.  За  результатами виконання українською стороною критеріїв (зокрема, реорганізації НАК «Нафтогаз України» та наближення українського законодавства до вимог Договору про заснування Енергетичного Співтовариства), у грудні 2014 року Європейським інвестиційним банком та Європейським банком реконструкції та розвитку було виділено кредитні кошти на суму 150 </w:t>
      </w:r>
      <w:proofErr w:type="spellStart"/>
      <w:r w:rsidRPr="00733265">
        <w:rPr>
          <w:rFonts w:ascii="Noto Serif" w:eastAsia="Times New Roman" w:hAnsi="Noto Serif" w:cs="Noto Serif"/>
          <w:kern w:val="0"/>
          <w:lang w:eastAsia="uk-UA"/>
          <w14:ligatures w14:val="none"/>
        </w:rPr>
        <w:t>млн.євро</w:t>
      </w:r>
      <w:proofErr w:type="spellEnd"/>
      <w:r w:rsidRPr="00733265">
        <w:rPr>
          <w:rFonts w:ascii="Noto Serif" w:eastAsia="Times New Roman" w:hAnsi="Noto Serif" w:cs="Noto Serif"/>
          <w:kern w:val="0"/>
          <w:lang w:eastAsia="uk-UA"/>
          <w14:ligatures w14:val="none"/>
        </w:rPr>
        <w:t xml:space="preserve"> та 200 </w:t>
      </w:r>
      <w:proofErr w:type="spellStart"/>
      <w:r w:rsidRPr="00733265">
        <w:rPr>
          <w:rFonts w:ascii="Noto Serif" w:eastAsia="Times New Roman" w:hAnsi="Noto Serif" w:cs="Noto Serif"/>
          <w:kern w:val="0"/>
          <w:lang w:eastAsia="uk-UA"/>
          <w14:ligatures w14:val="none"/>
        </w:rPr>
        <w:t>млн.дол</w:t>
      </w:r>
      <w:proofErr w:type="spellEnd"/>
      <w:r w:rsidRPr="00733265">
        <w:rPr>
          <w:rFonts w:ascii="Noto Serif" w:eastAsia="Times New Roman" w:hAnsi="Noto Serif" w:cs="Noto Serif"/>
          <w:kern w:val="0"/>
          <w:lang w:eastAsia="uk-UA"/>
          <w14:ligatures w14:val="none"/>
        </w:rPr>
        <w:t>. відповідно. Крім того, «</w:t>
      </w:r>
      <w:proofErr w:type="spellStart"/>
      <w:r w:rsidRPr="00733265">
        <w:rPr>
          <w:rFonts w:ascii="Noto Serif" w:eastAsia="Times New Roman" w:hAnsi="Noto Serif" w:cs="Noto Serif"/>
          <w:kern w:val="0"/>
          <w:lang w:eastAsia="uk-UA"/>
          <w14:ligatures w14:val="none"/>
        </w:rPr>
        <w:t>DeutscheBank</w:t>
      </w:r>
      <w:proofErr w:type="spellEnd"/>
      <w:r w:rsidRPr="00733265">
        <w:rPr>
          <w:rFonts w:ascii="Noto Serif" w:eastAsia="Times New Roman" w:hAnsi="Noto Serif" w:cs="Noto Serif"/>
          <w:kern w:val="0"/>
          <w:lang w:eastAsia="uk-UA"/>
          <w14:ligatures w14:val="none"/>
        </w:rPr>
        <w:t xml:space="preserve"> AG» дав принципову згоду на участь у фінансуванні модернізації всієї ГТС України орієнтовною вартістю від 3,5 до 5 млрд. євро.</w:t>
      </w:r>
    </w:p>
    <w:p w14:paraId="7BEFE7D3"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55C0E300" wp14:editId="63D1691D">
            <wp:extent cx="2762885" cy="1431290"/>
            <wp:effectExtent l="0" t="0" r="0" b="0"/>
            <wp:docPr id="30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885" cy="1431290"/>
                    </a:xfrm>
                    <a:prstGeom prst="rect">
                      <a:avLst/>
                    </a:prstGeom>
                    <a:noFill/>
                    <a:ln>
                      <a:noFill/>
                    </a:ln>
                  </pic:spPr>
                </pic:pic>
              </a:graphicData>
            </a:graphic>
          </wp:inline>
        </w:drawing>
      </w:r>
    </w:p>
    <w:p w14:paraId="3D9D855C"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Завершено виконання проекту «Програма підтримки вугільної галузі України», фінансування якого здійснювалося за кошти ЄС. Заключним етапом реалізації «Програми підтримки вугільного сектору» в Україні стало затвердження Генерального плану розвитку української вугледобувної галузі на 2012-2017 роки.</w:t>
      </w:r>
    </w:p>
    <w:p w14:paraId="5F11F01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4E338741"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73BA6FDF" wp14:editId="5262C542">
            <wp:extent cx="2653665" cy="1381760"/>
            <wp:effectExtent l="0" t="0" r="0" b="8890"/>
            <wp:docPr id="30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3665" cy="1381760"/>
                    </a:xfrm>
                    <a:prstGeom prst="rect">
                      <a:avLst/>
                    </a:prstGeom>
                    <a:noFill/>
                    <a:ln>
                      <a:noFill/>
                    </a:ln>
                  </pic:spPr>
                </pic:pic>
              </a:graphicData>
            </a:graphic>
          </wp:inline>
        </w:drawing>
      </w:r>
    </w:p>
    <w:p w14:paraId="29D8A29B"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Триває впровадження дорожньої карти з питань енергоефективності та використання відновлюваних джерел енергії, підписаної у квітні 2008 року. В енергобалансі України у 2020 р. визначено частку енергії, отриманої з відновлюваних джерел, на рівні 11%.</w:t>
      </w:r>
    </w:p>
    <w:p w14:paraId="76E2CD8D"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У жовтні 2014 року КМУ затверджено Національний план дій з відновлювальної енергетики до 2020 року, а також План заходів з його реалізації. Впроваджується програма бюджетної підтримки галузі в рамках Європейського інструменту сусідства та партнерства. Триває реалізація «Ініціативи щодо енергоефективності та захисту навколишнього середовища в Східній Європі/Україні» (Е5Р, Шведська ініціатива), започаткована 26 листопада 2009 року.</w:t>
      </w:r>
    </w:p>
    <w:p w14:paraId="75F491BB"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lastRenderedPageBreak/>
        <w:drawing>
          <wp:inline distT="0" distB="0" distL="0" distR="0" wp14:anchorId="32364992" wp14:editId="67B142A6">
            <wp:extent cx="3041650" cy="1978025"/>
            <wp:effectExtent l="0" t="0" r="6350" b="3175"/>
            <wp:docPr id="30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1650" cy="1978025"/>
                    </a:xfrm>
                    <a:prstGeom prst="rect">
                      <a:avLst/>
                    </a:prstGeom>
                    <a:noFill/>
                    <a:ln>
                      <a:noFill/>
                    </a:ln>
                  </pic:spPr>
                </pic:pic>
              </a:graphicData>
            </a:graphic>
          </wp:inline>
        </w:drawing>
      </w:r>
    </w:p>
    <w:p w14:paraId="4287A859"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В рамках співробітництва між Україною та Європейським Союзом, Сторонами у 2013 та 2014 роках відповідно було укладено міжнародні договори щодо надання Україні макрофінансової (кредитної) допомоги ЄС:</w:t>
      </w:r>
    </w:p>
    <w:p w14:paraId="69522A1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656C7A1" wp14:editId="1A351F7E">
            <wp:extent cx="149225" cy="149225"/>
            <wp:effectExtent l="0" t="0" r="3175" b="3175"/>
            <wp:docPr id="310" name="Рисунок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Меморандум про взаєморозуміння між Україною та ЄС і Кредитну угоду між Україною як Позичальником, НБУ як Агентом позичальника та ЄС як Кредитором щодо надання Україні макрофінансової допомоги ЄС у розмірі до 610 мільйонів євро (100 + 260 + 250 млн. євро) – МФД І;</w:t>
      </w:r>
    </w:p>
    <w:p w14:paraId="102559F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305DA80" wp14:editId="129C1D0C">
            <wp:extent cx="149225" cy="149225"/>
            <wp:effectExtent l="0" t="0" r="3175" b="3175"/>
            <wp:docPr id="311" name="Рисунок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Меморандум про взаєморозуміння між Україною та ЄС і Кредитну угоду між Україною як Позичальником, НБУ як Агентом Позичальника та ЄС як Кредитором щодо отримання Україною макрофінансової допомоги ЄС у розмірі до 1 мільярда євро (500 + 500 млн. євро) (МФД-ІІ).</w:t>
      </w:r>
    </w:p>
    <w:p w14:paraId="03F95FFB"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0A12FFDA" wp14:editId="15EDF1F0">
            <wp:extent cx="149225" cy="149225"/>
            <wp:effectExtent l="0" t="0" r="3175" b="3175"/>
            <wp:docPr id="312" name="Рисунок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xml:space="preserve"> За результатами проведення відповідного комплексу заходів Україною вже отримано усі заплановані кошти: 1,360 </w:t>
      </w:r>
      <w:proofErr w:type="spellStart"/>
      <w:r w:rsidRPr="00733265">
        <w:rPr>
          <w:rFonts w:ascii="Noto Serif" w:eastAsia="Times New Roman" w:hAnsi="Noto Serif" w:cs="Noto Serif"/>
          <w:color w:val="000000"/>
          <w:kern w:val="0"/>
          <w:lang w:eastAsia="uk-UA"/>
          <w14:ligatures w14:val="none"/>
        </w:rPr>
        <w:t>млрд.євро</w:t>
      </w:r>
      <w:proofErr w:type="spellEnd"/>
      <w:r w:rsidRPr="00733265">
        <w:rPr>
          <w:rFonts w:ascii="Noto Serif" w:eastAsia="Times New Roman" w:hAnsi="Noto Serif" w:cs="Noto Serif"/>
          <w:color w:val="000000"/>
          <w:kern w:val="0"/>
          <w:lang w:eastAsia="uk-UA"/>
          <w14:ligatures w14:val="none"/>
        </w:rPr>
        <w:t xml:space="preserve"> у 2014 р.,</w:t>
      </w:r>
    </w:p>
    <w:p w14:paraId="10E3CE5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250 млн. євро у 2015 р.</w:t>
      </w:r>
    </w:p>
    <w:p w14:paraId="0E6FB54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4675050" wp14:editId="6A80FBE1">
            <wp:extent cx="149225" cy="149225"/>
            <wp:effectExtent l="0" t="0" r="3175" b="3175"/>
            <wp:docPr id="313"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 рамках двостороннього співробітництва між Україною та Європейським Союзом, Європейською Стороною було прийнято рішення щодо надання Україні додаткової макрофінансової (кредитної) допомоги у розмірі до 1,8 млрд. євро (далі – МФД ІІІ).</w:t>
      </w:r>
    </w:p>
    <w:p w14:paraId="6E89235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14BD960" wp14:editId="05DF34A2">
            <wp:extent cx="149225" cy="149225"/>
            <wp:effectExtent l="0" t="0" r="3175" b="3175"/>
            <wp:docPr id="314"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Інструментом надання макрофінансової допомоги ЄС є Меморандум про взаєморозуміння та Кредитна Угода між Україною, НБУ та ЄС, які було підписано 22 травня 2015 р. в рамках Саміту «Східного партнерства» у Ризі та ратифіковано Законом України №538-VIII від 18 червня 2015 р.</w:t>
      </w:r>
    </w:p>
    <w:p w14:paraId="1E1D2782"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5EF2EEF6" wp14:editId="28C6317B">
            <wp:extent cx="149225" cy="149225"/>
            <wp:effectExtent l="0" t="0" r="3175" b="3175"/>
            <wp:docPr id="315"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У липні 2015 р. Україна отримала перший транш від ЄС в рамках МФД ІІІ у розмірі 600 млн. євро.</w:t>
      </w:r>
    </w:p>
    <w:p w14:paraId="5F815F8C"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w:drawing>
          <wp:inline distT="0" distB="0" distL="0" distR="0" wp14:anchorId="5664F48E" wp14:editId="7A06C040">
            <wp:extent cx="3041650" cy="1938020"/>
            <wp:effectExtent l="0" t="0" r="6350" b="5080"/>
            <wp:docPr id="31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1650" cy="1938020"/>
                    </a:xfrm>
                    <a:prstGeom prst="rect">
                      <a:avLst/>
                    </a:prstGeom>
                    <a:noFill/>
                    <a:ln>
                      <a:noFill/>
                    </a:ln>
                  </pic:spPr>
                </pic:pic>
              </a:graphicData>
            </a:graphic>
          </wp:inline>
        </w:drawing>
      </w:r>
    </w:p>
    <w:p w14:paraId="013B55FB" w14:textId="77777777" w:rsidR="00733265" w:rsidRPr="00733265" w:rsidRDefault="00733265" w:rsidP="00733265">
      <w:pPr>
        <w:spacing w:after="0" w:line="240" w:lineRule="auto"/>
        <w:ind w:firstLine="480"/>
        <w:jc w:val="both"/>
        <w:rPr>
          <w:rFonts w:ascii="Noto Serif" w:eastAsia="Times New Roman" w:hAnsi="Noto Serif" w:cs="Noto Serif"/>
          <w:kern w:val="0"/>
          <w:lang w:eastAsia="uk-UA"/>
          <w14:ligatures w14:val="none"/>
        </w:rPr>
      </w:pPr>
      <w:r w:rsidRPr="00733265">
        <w:rPr>
          <w:rFonts w:ascii="Noto Serif" w:eastAsia="Times New Roman" w:hAnsi="Noto Serif" w:cs="Noto Serif"/>
          <w:kern w:val="0"/>
          <w:lang w:eastAsia="uk-UA"/>
          <w14:ligatures w14:val="none"/>
        </w:rPr>
        <w:t>З огляду на військову агресію Росії щодо України, яка призвела до незаконної анексії території Автономної Республіки Крим у березні 2014 року Україна внесла на розгляд європейської сторони пропозицію щодо започаткування в Україні моніторингової/спостережної місії ЄС у рамках Спільної політики безпеки та оборони (СПБО).</w:t>
      </w:r>
    </w:p>
    <w:p w14:paraId="5C5E22AC"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00A6131" wp14:editId="593F7E13">
            <wp:extent cx="149225" cy="149225"/>
            <wp:effectExtent l="0" t="0" r="3175" b="3175"/>
            <wp:docPr id="317" name="Рисунок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xml:space="preserve">20 березня 2014 року за результатами засідання Ради ЄС було ухвалено Висновки щодо ситуації в Україні, у яких, зокрема, наголошувалося, що: «Європейська Рада просить </w:t>
      </w:r>
      <w:r w:rsidRPr="00733265">
        <w:rPr>
          <w:rFonts w:ascii="Noto Serif" w:eastAsia="Times New Roman" w:hAnsi="Noto Serif" w:cs="Noto Serif"/>
          <w:color w:val="000000"/>
          <w:kern w:val="0"/>
          <w:lang w:eastAsia="uk-UA"/>
          <w14:ligatures w14:val="none"/>
        </w:rPr>
        <w:lastRenderedPageBreak/>
        <w:t>Високого Представника терміново розробити плани щодо внеску ЄС у сприяння роботі Місії ОБСЄ.</w:t>
      </w:r>
    </w:p>
    <w:p w14:paraId="22650BE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73D480AE" wp14:editId="3A5994FD">
            <wp:extent cx="149225" cy="149225"/>
            <wp:effectExtent l="0" t="0" r="3175" b="3175"/>
            <wp:docPr id="318" name="Рисунок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xml:space="preserve"> 22 липня 2014 р. Радою ЄС із закордонних справ було прийнято рішення щодо розгортання Консультативної місії Європейського Союзу з реформування сектору цивільної безпеки України (EU </w:t>
      </w:r>
      <w:proofErr w:type="spellStart"/>
      <w:r w:rsidRPr="00733265">
        <w:rPr>
          <w:rFonts w:ascii="Noto Serif" w:eastAsia="Times New Roman" w:hAnsi="Noto Serif" w:cs="Noto Serif"/>
          <w:color w:val="000000"/>
          <w:kern w:val="0"/>
          <w:lang w:eastAsia="uk-UA"/>
          <w14:ligatures w14:val="none"/>
        </w:rPr>
        <w:t>AdvisoryMissionforCivilianSecuritySectorReform</w:t>
      </w:r>
      <w:proofErr w:type="spellEnd"/>
      <w:r w:rsidRPr="00733265">
        <w:rPr>
          <w:rFonts w:ascii="Noto Serif" w:eastAsia="Times New Roman" w:hAnsi="Noto Serif" w:cs="Noto Serif"/>
          <w:color w:val="000000"/>
          <w:kern w:val="0"/>
          <w:lang w:eastAsia="uk-UA"/>
          <w14:ligatures w14:val="none"/>
        </w:rPr>
        <w:t xml:space="preserve"> </w:t>
      </w:r>
      <w:proofErr w:type="spellStart"/>
      <w:r w:rsidRPr="00733265">
        <w:rPr>
          <w:rFonts w:ascii="Noto Serif" w:eastAsia="Times New Roman" w:hAnsi="Noto Serif" w:cs="Noto Serif"/>
          <w:color w:val="000000"/>
          <w:kern w:val="0"/>
          <w:lang w:eastAsia="uk-UA"/>
          <w14:ligatures w14:val="none"/>
        </w:rPr>
        <w:t>Ukraine</w:t>
      </w:r>
      <w:proofErr w:type="spellEnd"/>
      <w:r w:rsidRPr="00733265">
        <w:rPr>
          <w:rFonts w:ascii="Noto Serif" w:eastAsia="Times New Roman" w:hAnsi="Noto Serif" w:cs="Noto Serif"/>
          <w:color w:val="000000"/>
          <w:kern w:val="0"/>
          <w:lang w:eastAsia="uk-UA"/>
          <w14:ligatures w14:val="none"/>
        </w:rPr>
        <w:t xml:space="preserve"> (EUAM </w:t>
      </w:r>
      <w:proofErr w:type="spellStart"/>
      <w:r w:rsidRPr="00733265">
        <w:rPr>
          <w:rFonts w:ascii="Noto Serif" w:eastAsia="Times New Roman" w:hAnsi="Noto Serif" w:cs="Noto Serif"/>
          <w:color w:val="000000"/>
          <w:kern w:val="0"/>
          <w:lang w:eastAsia="uk-UA"/>
          <w14:ligatures w14:val="none"/>
        </w:rPr>
        <w:t>Ukraine</w:t>
      </w:r>
      <w:proofErr w:type="spellEnd"/>
      <w:r w:rsidRPr="00733265">
        <w:rPr>
          <w:rFonts w:ascii="Noto Serif" w:eastAsia="Times New Roman" w:hAnsi="Noto Serif" w:cs="Noto Serif"/>
          <w:color w:val="000000"/>
          <w:kern w:val="0"/>
          <w:lang w:eastAsia="uk-UA"/>
          <w14:ligatures w14:val="none"/>
        </w:rPr>
        <w:t>).</w:t>
      </w:r>
    </w:p>
    <w:p w14:paraId="1987A0E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9B57877" wp14:editId="61DB3CCD">
            <wp:extent cx="149225" cy="149225"/>
            <wp:effectExtent l="0" t="0" r="3175" b="3175"/>
            <wp:docPr id="319" name="Рисунок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Згідно з рішенням, штаб Місії базується в Києві. Фінансування діяльності Місії передбачено за рахунок бюджету ЄС та добровільних внесків держав-членів і третіх країн. Мандат Місії —2 роки.</w:t>
      </w:r>
    </w:p>
    <w:p w14:paraId="03345F9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32B880EE" wp14:editId="6B36F8FC">
            <wp:extent cx="149225" cy="149225"/>
            <wp:effectExtent l="0" t="0" r="3175" b="3175"/>
            <wp:docPr id="320" name="Рисунок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Закон України № 142-VIII «Про ратифікацію Угоди між Україною та Європейським Союзом щодо статусу Консультативної місії Європейського Союзу з реформування сектору цивільної безпеки України (КМЄС в Україні)» прийнято Верховною Радою України 4 лютого 2015 року та підписано Президентом України 23 лютого 2015 року.</w:t>
      </w:r>
    </w:p>
    <w:p w14:paraId="0B42E025"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noProof/>
          <w:kern w:val="0"/>
          <w:sz w:val="24"/>
          <w:szCs w:val="24"/>
          <w:lang w:eastAsia="uk-UA"/>
          <w14:ligatures w14:val="none"/>
        </w:rPr>
        <mc:AlternateContent>
          <mc:Choice Requires="wps">
            <w:drawing>
              <wp:inline distT="0" distB="0" distL="0" distR="0" wp14:anchorId="36FAC32C" wp14:editId="4D1E50EA">
                <wp:extent cx="3041650" cy="3041650"/>
                <wp:effectExtent l="0" t="0" r="0" b="0"/>
                <wp:docPr id="1008927585" name="AutoShape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0" cy="304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9A692" id="AutoShape 321" o:spid="_x0000_s1026"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" filled="f" stroked="f">
                <o:lock v:ext="edit" aspectratio="t"/>
                <w10:anchorlock/>
              </v:rect>
            </w:pict>
          </mc:Fallback>
        </mc:AlternateContent>
      </w:r>
    </w:p>
    <w:p w14:paraId="1F9DB434" w14:textId="77777777" w:rsidR="00733265" w:rsidRPr="00733265" w:rsidRDefault="00733265" w:rsidP="00733265">
      <w:pPr>
        <w:spacing w:after="0" w:line="240" w:lineRule="auto"/>
        <w:rPr>
          <w:rFonts w:ascii="Noto Serif" w:eastAsia="Times New Roman" w:hAnsi="Noto Serif" w:cs="Noto Serif"/>
          <w:kern w:val="0"/>
          <w:sz w:val="24"/>
          <w:szCs w:val="24"/>
          <w:lang w:eastAsia="uk-UA"/>
          <w14:ligatures w14:val="none"/>
        </w:rPr>
      </w:pPr>
      <w:r w:rsidRPr="00733265">
        <w:rPr>
          <w:rFonts w:ascii="Noto Serif" w:eastAsia="Times New Roman" w:hAnsi="Noto Serif" w:cs="Noto Serif"/>
          <w:kern w:val="0"/>
          <w:sz w:val="24"/>
          <w:szCs w:val="24"/>
          <w:lang w:eastAsia="uk-UA"/>
          <w14:ligatures w14:val="none"/>
        </w:rPr>
        <w:t>відбувається на підставі статті 5 Угоди про асоціацію між Україною та ЄС, відповідно до якої </w:t>
      </w:r>
      <w:r w:rsidRPr="00733265">
        <w:rPr>
          <w:rFonts w:ascii="Noto Serif" w:eastAsia="Times New Roman" w:hAnsi="Noto Serif" w:cs="Noto Serif"/>
          <w:i/>
          <w:iCs/>
          <w:kern w:val="0"/>
          <w:sz w:val="24"/>
          <w:szCs w:val="24"/>
          <w:lang w:eastAsia="uk-UA"/>
          <w14:ligatures w14:val="none"/>
        </w:rPr>
        <w:t>«сторони проводять регулярні засідання в рамках політичного діалогу на рівні самітів</w:t>
      </w:r>
      <w:r w:rsidRPr="00733265">
        <w:rPr>
          <w:rFonts w:ascii="Noto Serif" w:eastAsia="Times New Roman" w:hAnsi="Noto Serif" w:cs="Noto Serif"/>
          <w:kern w:val="0"/>
          <w:sz w:val="24"/>
          <w:szCs w:val="24"/>
          <w:lang w:eastAsia="uk-UA"/>
          <w14:ligatures w14:val="none"/>
        </w:rPr>
        <w:t>». </w:t>
      </w:r>
      <w:proofErr w:type="spellStart"/>
      <w:r w:rsidRPr="00733265">
        <w:rPr>
          <w:rFonts w:ascii="Noto Serif" w:eastAsia="Times New Roman" w:hAnsi="Noto Serif" w:cs="Noto Serif"/>
          <w:kern w:val="0"/>
          <w:sz w:val="24"/>
          <w:szCs w:val="24"/>
          <w:lang w:eastAsia="uk-UA"/>
          <w14:ligatures w14:val="none"/>
        </w:rPr>
        <w:t>Cаміти</w:t>
      </w:r>
      <w:proofErr w:type="spellEnd"/>
      <w:r w:rsidRPr="00733265">
        <w:rPr>
          <w:rFonts w:ascii="Noto Serif" w:eastAsia="Times New Roman" w:hAnsi="Noto Serif" w:cs="Noto Serif"/>
          <w:kern w:val="0"/>
          <w:sz w:val="24"/>
          <w:szCs w:val="24"/>
          <w:lang w:eastAsia="uk-UA"/>
          <w14:ligatures w14:val="none"/>
        </w:rPr>
        <w:t xml:space="preserve"> відбуваються кожного року почергово в Україні та Брюсселі</w:t>
      </w:r>
      <w:hyperlink r:id="rId40" w:tooltip="Детальніше про це: Саміти Україна – ЄС [Електронний ресурс]. — Режим доступу : http://mfa.gov.ua/ua/about-ukraine/european-integration/Ukraine-EU-Summits &lt;/a&gt;. — Назва з екрана." w:history="1">
        <w:r w:rsidRPr="00733265">
          <w:rPr>
            <w:rFonts w:ascii="Noto Serif" w:eastAsia="Times New Roman" w:hAnsi="Noto Serif" w:cs="Noto Serif"/>
            <w:color w:val="0000FF"/>
            <w:kern w:val="0"/>
            <w:sz w:val="24"/>
            <w:szCs w:val="24"/>
            <w:u w:val="single"/>
            <w:vertAlign w:val="superscript"/>
            <w:lang w:eastAsia="uk-UA"/>
            <w14:ligatures w14:val="none"/>
          </w:rPr>
          <w:t>48</w:t>
        </w:r>
      </w:hyperlink>
      <w:r w:rsidRPr="00733265">
        <w:rPr>
          <w:rFonts w:ascii="Noto Serif" w:eastAsia="Times New Roman" w:hAnsi="Noto Serif" w:cs="Noto Serif"/>
          <w:kern w:val="0"/>
          <w:sz w:val="24"/>
          <w:szCs w:val="24"/>
          <w:lang w:eastAsia="uk-UA"/>
          <w14:ligatures w14:val="none"/>
        </w:rPr>
        <w:t>.</w:t>
      </w:r>
    </w:p>
    <w:p w14:paraId="0016E15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Беруть участь — </w:t>
      </w:r>
      <w:r w:rsidRPr="00733265">
        <w:rPr>
          <w:rFonts w:ascii="Noto Serif" w:eastAsia="Times New Roman" w:hAnsi="Noto Serif" w:cs="Noto Serif"/>
          <w:color w:val="000000"/>
          <w:kern w:val="0"/>
          <w:lang w:eastAsia="uk-UA"/>
          <w14:ligatures w14:val="none"/>
        </w:rPr>
        <w:t>Президент України, Президент Європейської Ради, Президент Європейської Комісії.</w:t>
      </w:r>
    </w:p>
    <w:p w14:paraId="08CE67A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Мета самітів:</w:t>
      </w:r>
    </w:p>
    <w:p w14:paraId="716B72F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F130A5C" wp14:editId="38812DBC">
            <wp:extent cx="149225" cy="149225"/>
            <wp:effectExtent l="0" t="0" r="3175" b="3175"/>
            <wp:docPr id="322" name="Рисунок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надати сторонам можливість підбити підсумки співробітництва між Україною та ЄС за рік, що минув;</w:t>
      </w:r>
    </w:p>
    <w:p w14:paraId="4226057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4EC4559F" wp14:editId="5D1583CF">
            <wp:extent cx="149225" cy="149225"/>
            <wp:effectExtent l="0" t="0" r="3175" b="3175"/>
            <wp:docPr id="323" name="Рисунок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визначити пріоритети взаємодії на найближче майбутнє;</w:t>
      </w:r>
    </w:p>
    <w:p w14:paraId="47AC77D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1D6E8E3E" wp14:editId="3553A589">
            <wp:extent cx="149225" cy="149225"/>
            <wp:effectExtent l="0" t="0" r="3175" b="3175"/>
            <wp:docPr id="324" name="Рисунок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обговорити розвиток ситуації в Україні та Європейському Союзі;</w:t>
      </w:r>
    </w:p>
    <w:p w14:paraId="3E7DD27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drawing>
          <wp:inline distT="0" distB="0" distL="0" distR="0" wp14:anchorId="65023768" wp14:editId="21148B4B">
            <wp:extent cx="149225" cy="149225"/>
            <wp:effectExtent l="0" t="0" r="3175" b="3175"/>
            <wp:docPr id="325" name="Рисунок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узгодити позиції щодо актуальних міжнародних питань.</w:t>
      </w:r>
    </w:p>
    <w:p w14:paraId="7BFEE508"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Позиція ЄС </w:t>
      </w:r>
      <w:r w:rsidRPr="00733265">
        <w:rPr>
          <w:rFonts w:ascii="Noto Serif" w:eastAsia="Times New Roman" w:hAnsi="Noto Serif" w:cs="Noto Serif"/>
          <w:color w:val="000000"/>
          <w:kern w:val="0"/>
          <w:lang w:eastAsia="uk-UA"/>
          <w14:ligatures w14:val="none"/>
        </w:rPr>
        <w:t>— в цілому полягає в тому, щоб Україна самостійно вирішувала свої внутрішні проблеми, особливо в сфері безпеки, а тільки потім можна буде говорити про подальший розвиток відносин.</w:t>
      </w:r>
    </w:p>
    <w:p w14:paraId="7CA555A5"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Українська позиція </w:t>
      </w:r>
      <w:r w:rsidRPr="00733265">
        <w:rPr>
          <w:rFonts w:ascii="Noto Serif" w:eastAsia="Times New Roman" w:hAnsi="Noto Serif" w:cs="Noto Serif"/>
          <w:color w:val="000000"/>
          <w:kern w:val="0"/>
          <w:lang w:eastAsia="uk-UA"/>
          <w14:ligatures w14:val="none"/>
        </w:rPr>
        <w:t>— щоб Євросоюз посприяв вирішенню внутрішніх проблем і підтримав нашу державу матеріально. Це йде в розріз інтересам Європи, а тому, поки що, ми маємо неоднозначну ситуацію, в якій компроміс відсутній</w:t>
      </w:r>
      <w:r w:rsidRPr="00733265">
        <w:rPr>
          <w:rFonts w:ascii="Noto Serif" w:eastAsia="Times New Roman" w:hAnsi="Noto Serif" w:cs="Noto Serif"/>
          <w:color w:val="000000"/>
          <w:kern w:val="0"/>
          <w:vertAlign w:val="superscript"/>
          <w:lang w:eastAsia="uk-UA"/>
          <w14:ligatures w14:val="none"/>
        </w:rPr>
        <w:t> 49</w:t>
      </w:r>
      <w:r w:rsidRPr="00733265">
        <w:rPr>
          <w:rFonts w:ascii="Noto Serif" w:eastAsia="Times New Roman" w:hAnsi="Noto Serif" w:cs="Noto Serif"/>
          <w:color w:val="000000"/>
          <w:kern w:val="0"/>
          <w:lang w:eastAsia="uk-UA"/>
          <w14:ligatures w14:val="none"/>
        </w:rPr>
        <w:t>.</w:t>
      </w:r>
    </w:p>
    <w:p w14:paraId="6DD390F3" w14:textId="77777777" w:rsidR="00733265" w:rsidRPr="00733265" w:rsidRDefault="00733265" w:rsidP="00733265">
      <w:pPr>
        <w:spacing w:after="0" w:line="240" w:lineRule="auto"/>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ПРИКІНЦЕВИЙ МЕХАНІЗМ ВСТУПУ УКРАЇНИ ДО      ЄВРОПЕЙСЬКОГО СОЮЗУ</w:t>
      </w:r>
      <w:r w:rsidRPr="00733265">
        <w:rPr>
          <w:rFonts w:ascii="Noto Serif" w:eastAsia="Times New Roman" w:hAnsi="Noto Serif" w:cs="Noto Serif"/>
          <w:color w:val="000000"/>
          <w:kern w:val="0"/>
          <w:lang w:eastAsia="uk-UA"/>
          <w14:ligatures w14:val="none"/>
        </w:rPr>
        <w:t> — пов’язаний із практичною реалізацією таких кроків:</w:t>
      </w:r>
    </w:p>
    <w:p w14:paraId="686CBDC6"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 </w:t>
      </w:r>
    </w:p>
    <w:p w14:paraId="2EB94CBE"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lastRenderedPageBreak/>
        <w:drawing>
          <wp:inline distT="0" distB="0" distL="0" distR="0" wp14:anchorId="2C306F0D" wp14:editId="5920FF0B">
            <wp:extent cx="6122670" cy="5546090"/>
            <wp:effectExtent l="0" t="0" r="0" b="0"/>
            <wp:docPr id="32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2670" cy="5546090"/>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w:t>
      </w:r>
    </w:p>
    <w:p w14:paraId="15C1D983"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noProof/>
          <w:color w:val="000000"/>
          <w:kern w:val="0"/>
          <w:lang w:eastAsia="uk-UA"/>
          <w14:ligatures w14:val="none"/>
        </w:rPr>
        <w:lastRenderedPageBreak/>
        <w:drawing>
          <wp:inline distT="0" distB="0" distL="0" distR="0" wp14:anchorId="61E5211C" wp14:editId="346A1208">
            <wp:extent cx="6887845" cy="6301409"/>
            <wp:effectExtent l="0" t="0" r="0" b="0"/>
            <wp:docPr id="32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90157" cy="6303524"/>
                    </a:xfrm>
                    <a:prstGeom prst="rect">
                      <a:avLst/>
                    </a:prstGeom>
                    <a:noFill/>
                    <a:ln>
                      <a:noFill/>
                    </a:ln>
                  </pic:spPr>
                </pic:pic>
              </a:graphicData>
            </a:graphic>
          </wp:inline>
        </w:drawing>
      </w:r>
      <w:r w:rsidRPr="00733265">
        <w:rPr>
          <w:rFonts w:ascii="Noto Serif" w:eastAsia="Times New Roman" w:hAnsi="Noto Serif" w:cs="Noto Serif"/>
          <w:color w:val="000000"/>
          <w:kern w:val="0"/>
          <w:lang w:eastAsia="uk-UA"/>
          <w14:ligatures w14:val="none"/>
        </w:rPr>
        <w:t> </w:t>
      </w:r>
    </w:p>
    <w:p w14:paraId="48C22AD1" w14:textId="77777777" w:rsidR="00733265" w:rsidRPr="00733265" w:rsidRDefault="00733265" w:rsidP="00733265">
      <w:pPr>
        <w:spacing w:after="0" w:line="240" w:lineRule="auto"/>
        <w:jc w:val="center"/>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Рис. 4.6 Інституційно-правовий механізм вступу України до ЄС</w:t>
      </w:r>
    </w:p>
    <w:p w14:paraId="5BF15E8E" w14:textId="77777777" w:rsidR="00733265" w:rsidRPr="00733265" w:rsidRDefault="00733265" w:rsidP="00733265">
      <w:pPr>
        <w:spacing w:after="0" w:line="240" w:lineRule="auto"/>
        <w:ind w:firstLine="480"/>
        <w:jc w:val="both"/>
        <w:rPr>
          <w:rFonts w:ascii="Noto Serif" w:eastAsia="Times New Roman" w:hAnsi="Noto Serif" w:cs="Noto Serif"/>
          <w:b/>
          <w:bCs/>
          <w:color w:val="000000"/>
          <w:kern w:val="0"/>
          <w:lang w:eastAsia="uk-UA"/>
          <w14:ligatures w14:val="none"/>
        </w:rPr>
      </w:pPr>
      <w:r w:rsidRPr="00733265">
        <w:rPr>
          <w:rFonts w:ascii="Noto Serif" w:eastAsia="Times New Roman" w:hAnsi="Noto Serif" w:cs="Noto Serif"/>
          <w:b/>
          <w:bCs/>
          <w:color w:val="000000"/>
          <w:kern w:val="0"/>
          <w:lang w:eastAsia="uk-UA"/>
          <w14:ligatures w14:val="none"/>
        </w:rPr>
        <w:t>ЗАПИТАННЯ ДЛЯ САМОКОНТРОЛЮ:</w:t>
      </w:r>
    </w:p>
    <w:p w14:paraId="55C54421"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1. Пригадайте основну хронологію договірно-правового співробітництва України та Європейського союзу.</w:t>
      </w:r>
    </w:p>
    <w:p w14:paraId="0BD377F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2. В чому сутність Копенгагенських критеріїв? Що таке «критерії конвергенції»?</w:t>
      </w:r>
    </w:p>
    <w:p w14:paraId="4AADE744"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3. Як Ви розумієте сутність «незалежних» критеріїв вступу до Євросоюзу?</w:t>
      </w:r>
    </w:p>
    <w:p w14:paraId="0C8DFFD0"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4. Опишіть основні етапи процедури вступу до Євросоюзу.</w:t>
      </w:r>
    </w:p>
    <w:p w14:paraId="3E9B757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5. В чому суть концепції «спільного доробку ЄС»?</w:t>
      </w:r>
    </w:p>
    <w:p w14:paraId="6CF5A107"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6. В чому сенс політики Східного партнерства для України?</w:t>
      </w:r>
    </w:p>
    <w:p w14:paraId="262F8B1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7. В чому конкретно виражається допомога Україні із боку Європейського Союзу?</w:t>
      </w:r>
    </w:p>
    <w:p w14:paraId="08F7F3C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8. Яке значення для України становить Угода про Асоціацію із ЄС?</w:t>
      </w:r>
    </w:p>
    <w:p w14:paraId="2B5108BE"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9. Коли і ким була підписана Угода про асоціацію між Україною та ЄС?</w:t>
      </w:r>
    </w:p>
    <w:p w14:paraId="5EC931DF"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10. Опишіть загальну структуру Угоди про асоціацію між Україною та ЄС.</w:t>
      </w:r>
    </w:p>
    <w:p w14:paraId="678B1179"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11. Чим вигідна для України Зона вільної торгівлі?</w:t>
      </w:r>
    </w:p>
    <w:p w14:paraId="5D2A4A83" w14:textId="77777777" w:rsidR="00733265" w:rsidRPr="00733265" w:rsidRDefault="00733265" w:rsidP="00733265">
      <w:pPr>
        <w:spacing w:after="0" w:line="240" w:lineRule="auto"/>
        <w:ind w:firstLine="480"/>
        <w:jc w:val="both"/>
        <w:rPr>
          <w:rFonts w:ascii="Noto Serif" w:eastAsia="Times New Roman" w:hAnsi="Noto Serif" w:cs="Noto Serif"/>
          <w:color w:val="000000"/>
          <w:kern w:val="0"/>
          <w:lang w:eastAsia="uk-UA"/>
          <w14:ligatures w14:val="none"/>
        </w:rPr>
      </w:pPr>
      <w:r w:rsidRPr="00733265">
        <w:rPr>
          <w:rFonts w:ascii="Noto Serif" w:eastAsia="Times New Roman" w:hAnsi="Noto Serif" w:cs="Noto Serif"/>
          <w:color w:val="000000"/>
          <w:kern w:val="0"/>
          <w:lang w:eastAsia="uk-UA"/>
          <w14:ligatures w14:val="none"/>
        </w:rPr>
        <w:t>12. Який прикінцевий механізм можливого вступу України до ЄС?</w:t>
      </w:r>
    </w:p>
    <w:p w14:paraId="638729A7" w14:textId="77777777" w:rsidR="00733265" w:rsidRDefault="00733265"/>
    <w:sectPr w:rsidR="00733265" w:rsidSect="007332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Ubuntu Condensed">
    <w:charset w:val="00"/>
    <w:family w:val="swiss"/>
    <w:pitch w:val="variable"/>
    <w:sig w:usb0="E00002FF" w:usb1="5000205B" w:usb2="00000000" w:usb3="00000000" w:csb0="0000009F" w:csb1="00000000"/>
  </w:font>
  <w:font w:name="Noto Serif">
    <w:charset w:val="00"/>
    <w:family w:val="roman"/>
    <w:pitch w:val="variable"/>
    <w:sig w:usb0="E00002FF" w:usb1="500078FF" w:usb2="00000029"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65"/>
    <w:rsid w:val="007332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49FC5"/>
  <w15:chartTrackingRefBased/>
  <w15:docId w15:val="{9A91F29E-56C0-4A52-AA8A-D940EAB8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604650">
      <w:bodyDiv w:val="1"/>
      <w:marLeft w:val="0"/>
      <w:marRight w:val="0"/>
      <w:marTop w:val="0"/>
      <w:marBottom w:val="0"/>
      <w:divBdr>
        <w:top w:val="none" w:sz="0" w:space="0" w:color="auto"/>
        <w:left w:val="none" w:sz="0" w:space="0" w:color="auto"/>
        <w:bottom w:val="none" w:sz="0" w:space="0" w:color="auto"/>
        <w:right w:val="none" w:sz="0" w:space="0" w:color="auto"/>
      </w:divBdr>
      <w:divsChild>
        <w:div w:id="1883513177">
          <w:marLeft w:val="0"/>
          <w:marRight w:val="0"/>
          <w:marTop w:val="0"/>
          <w:marBottom w:val="0"/>
          <w:divBdr>
            <w:top w:val="none" w:sz="0" w:space="0" w:color="auto"/>
            <w:left w:val="none" w:sz="0" w:space="0" w:color="auto"/>
            <w:bottom w:val="none" w:sz="0" w:space="0" w:color="auto"/>
            <w:right w:val="none" w:sz="0" w:space="0" w:color="auto"/>
          </w:divBdr>
        </w:div>
        <w:div w:id="1501654552">
          <w:marLeft w:val="0"/>
          <w:marRight w:val="0"/>
          <w:marTop w:val="0"/>
          <w:marBottom w:val="0"/>
          <w:divBdr>
            <w:top w:val="none" w:sz="0" w:space="0" w:color="auto"/>
            <w:left w:val="none" w:sz="0" w:space="0" w:color="auto"/>
            <w:bottom w:val="none" w:sz="0" w:space="0" w:color="auto"/>
            <w:right w:val="none" w:sz="0" w:space="0" w:color="auto"/>
          </w:divBdr>
        </w:div>
        <w:div w:id="832792113">
          <w:marLeft w:val="0"/>
          <w:marRight w:val="0"/>
          <w:marTop w:val="0"/>
          <w:marBottom w:val="0"/>
          <w:divBdr>
            <w:top w:val="none" w:sz="0" w:space="0" w:color="auto"/>
            <w:left w:val="none" w:sz="0" w:space="0" w:color="auto"/>
            <w:bottom w:val="none" w:sz="0" w:space="0" w:color="auto"/>
            <w:right w:val="none" w:sz="0" w:space="0" w:color="auto"/>
          </w:divBdr>
        </w:div>
        <w:div w:id="302002846">
          <w:marLeft w:val="0"/>
          <w:marRight w:val="0"/>
          <w:marTop w:val="0"/>
          <w:marBottom w:val="0"/>
          <w:divBdr>
            <w:top w:val="none" w:sz="0" w:space="0" w:color="auto"/>
            <w:left w:val="none" w:sz="0" w:space="0" w:color="auto"/>
            <w:bottom w:val="none" w:sz="0" w:space="0" w:color="auto"/>
            <w:right w:val="none" w:sz="0" w:space="0" w:color="auto"/>
          </w:divBdr>
        </w:div>
        <w:div w:id="1764379278">
          <w:marLeft w:val="0"/>
          <w:marRight w:val="0"/>
          <w:marTop w:val="0"/>
          <w:marBottom w:val="0"/>
          <w:divBdr>
            <w:top w:val="none" w:sz="0" w:space="0" w:color="auto"/>
            <w:left w:val="none" w:sz="0" w:space="0" w:color="auto"/>
            <w:bottom w:val="none" w:sz="0" w:space="0" w:color="auto"/>
            <w:right w:val="none" w:sz="0" w:space="0" w:color="auto"/>
          </w:divBdr>
        </w:div>
        <w:div w:id="1205093171">
          <w:marLeft w:val="0"/>
          <w:marRight w:val="0"/>
          <w:marTop w:val="0"/>
          <w:marBottom w:val="0"/>
          <w:divBdr>
            <w:top w:val="none" w:sz="0" w:space="0" w:color="auto"/>
            <w:left w:val="none" w:sz="0" w:space="0" w:color="auto"/>
            <w:bottom w:val="none" w:sz="0" w:space="0" w:color="auto"/>
            <w:right w:val="none" w:sz="0" w:space="0" w:color="auto"/>
          </w:divBdr>
        </w:div>
        <w:div w:id="226915597">
          <w:marLeft w:val="0"/>
          <w:marRight w:val="0"/>
          <w:marTop w:val="0"/>
          <w:marBottom w:val="0"/>
          <w:divBdr>
            <w:top w:val="none" w:sz="0" w:space="0" w:color="auto"/>
            <w:left w:val="none" w:sz="0" w:space="0" w:color="auto"/>
            <w:bottom w:val="none" w:sz="0" w:space="0" w:color="auto"/>
            <w:right w:val="none" w:sz="0" w:space="0" w:color="auto"/>
          </w:divBdr>
        </w:div>
        <w:div w:id="274026092">
          <w:marLeft w:val="0"/>
          <w:marRight w:val="0"/>
          <w:marTop w:val="0"/>
          <w:marBottom w:val="0"/>
          <w:divBdr>
            <w:top w:val="none" w:sz="0" w:space="0" w:color="auto"/>
            <w:left w:val="none" w:sz="0" w:space="0" w:color="auto"/>
            <w:bottom w:val="none" w:sz="0" w:space="0" w:color="auto"/>
            <w:right w:val="none" w:sz="0" w:space="0" w:color="auto"/>
          </w:divBdr>
        </w:div>
        <w:div w:id="595671676">
          <w:marLeft w:val="0"/>
          <w:marRight w:val="0"/>
          <w:marTop w:val="0"/>
          <w:marBottom w:val="0"/>
          <w:divBdr>
            <w:top w:val="none" w:sz="0" w:space="0" w:color="auto"/>
            <w:left w:val="none" w:sz="0" w:space="0" w:color="auto"/>
            <w:bottom w:val="none" w:sz="0" w:space="0" w:color="auto"/>
            <w:right w:val="none" w:sz="0" w:space="0" w:color="auto"/>
          </w:divBdr>
        </w:div>
        <w:div w:id="1197232536">
          <w:marLeft w:val="0"/>
          <w:marRight w:val="0"/>
          <w:marTop w:val="0"/>
          <w:marBottom w:val="0"/>
          <w:divBdr>
            <w:top w:val="none" w:sz="0" w:space="0" w:color="auto"/>
            <w:left w:val="none" w:sz="0" w:space="0" w:color="auto"/>
            <w:bottom w:val="none" w:sz="0" w:space="0" w:color="auto"/>
            <w:right w:val="none" w:sz="0" w:space="0" w:color="auto"/>
          </w:divBdr>
        </w:div>
        <w:div w:id="1675456094">
          <w:marLeft w:val="0"/>
          <w:marRight w:val="0"/>
          <w:marTop w:val="0"/>
          <w:marBottom w:val="0"/>
          <w:divBdr>
            <w:top w:val="none" w:sz="0" w:space="0" w:color="auto"/>
            <w:left w:val="none" w:sz="0" w:space="0" w:color="auto"/>
            <w:bottom w:val="none" w:sz="0" w:space="0" w:color="auto"/>
            <w:right w:val="none" w:sz="0" w:space="0" w:color="auto"/>
          </w:divBdr>
        </w:div>
        <w:div w:id="979192493">
          <w:marLeft w:val="0"/>
          <w:marRight w:val="0"/>
          <w:marTop w:val="0"/>
          <w:marBottom w:val="0"/>
          <w:divBdr>
            <w:top w:val="none" w:sz="0" w:space="0" w:color="auto"/>
            <w:left w:val="none" w:sz="0" w:space="0" w:color="auto"/>
            <w:bottom w:val="none" w:sz="0" w:space="0" w:color="auto"/>
            <w:right w:val="none" w:sz="0" w:space="0" w:color="auto"/>
          </w:divBdr>
        </w:div>
        <w:div w:id="1578712339">
          <w:marLeft w:val="0"/>
          <w:marRight w:val="0"/>
          <w:marTop w:val="0"/>
          <w:marBottom w:val="0"/>
          <w:divBdr>
            <w:top w:val="none" w:sz="0" w:space="0" w:color="auto"/>
            <w:left w:val="none" w:sz="0" w:space="0" w:color="auto"/>
            <w:bottom w:val="none" w:sz="0" w:space="0" w:color="auto"/>
            <w:right w:val="none" w:sz="0" w:space="0" w:color="auto"/>
          </w:divBdr>
        </w:div>
        <w:div w:id="310641468">
          <w:marLeft w:val="0"/>
          <w:marRight w:val="0"/>
          <w:marTop w:val="0"/>
          <w:marBottom w:val="0"/>
          <w:divBdr>
            <w:top w:val="none" w:sz="0" w:space="0" w:color="auto"/>
            <w:left w:val="none" w:sz="0" w:space="0" w:color="auto"/>
            <w:bottom w:val="none" w:sz="0" w:space="0" w:color="auto"/>
            <w:right w:val="none" w:sz="0" w:space="0" w:color="auto"/>
          </w:divBdr>
        </w:div>
        <w:div w:id="704405473">
          <w:marLeft w:val="0"/>
          <w:marRight w:val="0"/>
          <w:marTop w:val="0"/>
          <w:marBottom w:val="0"/>
          <w:divBdr>
            <w:top w:val="none" w:sz="0" w:space="0" w:color="auto"/>
            <w:left w:val="none" w:sz="0" w:space="0" w:color="auto"/>
            <w:bottom w:val="none" w:sz="0" w:space="0" w:color="auto"/>
            <w:right w:val="none" w:sz="0" w:space="0" w:color="auto"/>
          </w:divBdr>
        </w:div>
        <w:div w:id="1557935557">
          <w:marLeft w:val="0"/>
          <w:marRight w:val="0"/>
          <w:marTop w:val="0"/>
          <w:marBottom w:val="0"/>
          <w:divBdr>
            <w:top w:val="none" w:sz="0" w:space="0" w:color="auto"/>
            <w:left w:val="none" w:sz="0" w:space="0" w:color="auto"/>
            <w:bottom w:val="none" w:sz="0" w:space="0" w:color="auto"/>
            <w:right w:val="none" w:sz="0" w:space="0" w:color="auto"/>
          </w:divBdr>
        </w:div>
        <w:div w:id="1377702129">
          <w:marLeft w:val="0"/>
          <w:marRight w:val="0"/>
          <w:marTop w:val="0"/>
          <w:marBottom w:val="0"/>
          <w:divBdr>
            <w:top w:val="none" w:sz="0" w:space="0" w:color="auto"/>
            <w:left w:val="none" w:sz="0" w:space="0" w:color="auto"/>
            <w:bottom w:val="none" w:sz="0" w:space="0" w:color="auto"/>
            <w:right w:val="none" w:sz="0" w:space="0" w:color="auto"/>
          </w:divBdr>
        </w:div>
        <w:div w:id="2026664604">
          <w:marLeft w:val="0"/>
          <w:marRight w:val="0"/>
          <w:marTop w:val="0"/>
          <w:marBottom w:val="0"/>
          <w:divBdr>
            <w:top w:val="none" w:sz="0" w:space="0" w:color="auto"/>
            <w:left w:val="none" w:sz="0" w:space="0" w:color="auto"/>
            <w:bottom w:val="none" w:sz="0" w:space="0" w:color="auto"/>
            <w:right w:val="none" w:sz="0" w:space="0" w:color="auto"/>
          </w:divBdr>
        </w:div>
        <w:div w:id="1671253488">
          <w:marLeft w:val="0"/>
          <w:marRight w:val="0"/>
          <w:marTop w:val="0"/>
          <w:marBottom w:val="0"/>
          <w:divBdr>
            <w:top w:val="none" w:sz="0" w:space="0" w:color="auto"/>
            <w:left w:val="none" w:sz="0" w:space="0" w:color="auto"/>
            <w:bottom w:val="none" w:sz="0" w:space="0" w:color="auto"/>
            <w:right w:val="none" w:sz="0" w:space="0" w:color="auto"/>
          </w:divBdr>
        </w:div>
        <w:div w:id="42366154">
          <w:marLeft w:val="0"/>
          <w:marRight w:val="0"/>
          <w:marTop w:val="0"/>
          <w:marBottom w:val="0"/>
          <w:divBdr>
            <w:top w:val="none" w:sz="0" w:space="0" w:color="auto"/>
            <w:left w:val="none" w:sz="0" w:space="0" w:color="auto"/>
            <w:bottom w:val="none" w:sz="0" w:space="0" w:color="auto"/>
            <w:right w:val="none" w:sz="0" w:space="0" w:color="auto"/>
          </w:divBdr>
        </w:div>
        <w:div w:id="354885739">
          <w:marLeft w:val="0"/>
          <w:marRight w:val="0"/>
          <w:marTop w:val="0"/>
          <w:marBottom w:val="0"/>
          <w:divBdr>
            <w:top w:val="none" w:sz="0" w:space="0" w:color="auto"/>
            <w:left w:val="none" w:sz="0" w:space="0" w:color="auto"/>
            <w:bottom w:val="none" w:sz="0" w:space="0" w:color="auto"/>
            <w:right w:val="none" w:sz="0" w:space="0" w:color="auto"/>
          </w:divBdr>
        </w:div>
        <w:div w:id="669255561">
          <w:marLeft w:val="0"/>
          <w:marRight w:val="0"/>
          <w:marTop w:val="0"/>
          <w:marBottom w:val="0"/>
          <w:divBdr>
            <w:top w:val="none" w:sz="0" w:space="0" w:color="auto"/>
            <w:left w:val="none" w:sz="0" w:space="0" w:color="auto"/>
            <w:bottom w:val="none" w:sz="0" w:space="0" w:color="auto"/>
            <w:right w:val="none" w:sz="0" w:space="0" w:color="auto"/>
          </w:divBdr>
        </w:div>
        <w:div w:id="743602703">
          <w:marLeft w:val="0"/>
          <w:marRight w:val="0"/>
          <w:marTop w:val="0"/>
          <w:marBottom w:val="0"/>
          <w:divBdr>
            <w:top w:val="none" w:sz="0" w:space="0" w:color="auto"/>
            <w:left w:val="none" w:sz="0" w:space="0" w:color="auto"/>
            <w:bottom w:val="none" w:sz="0" w:space="0" w:color="auto"/>
            <w:right w:val="none" w:sz="0" w:space="0" w:color="auto"/>
          </w:divBdr>
        </w:div>
        <w:div w:id="1155489807">
          <w:marLeft w:val="0"/>
          <w:marRight w:val="0"/>
          <w:marTop w:val="0"/>
          <w:marBottom w:val="0"/>
          <w:divBdr>
            <w:top w:val="none" w:sz="0" w:space="0" w:color="auto"/>
            <w:left w:val="none" w:sz="0" w:space="0" w:color="auto"/>
            <w:bottom w:val="none" w:sz="0" w:space="0" w:color="auto"/>
            <w:right w:val="none" w:sz="0" w:space="0" w:color="auto"/>
          </w:divBdr>
        </w:div>
        <w:div w:id="1331637697">
          <w:marLeft w:val="0"/>
          <w:marRight w:val="0"/>
          <w:marTop w:val="0"/>
          <w:marBottom w:val="0"/>
          <w:divBdr>
            <w:top w:val="none" w:sz="0" w:space="0" w:color="auto"/>
            <w:left w:val="none" w:sz="0" w:space="0" w:color="auto"/>
            <w:bottom w:val="none" w:sz="0" w:space="0" w:color="auto"/>
            <w:right w:val="none" w:sz="0" w:space="0" w:color="auto"/>
          </w:divBdr>
        </w:div>
        <w:div w:id="1395547796">
          <w:marLeft w:val="0"/>
          <w:marRight w:val="0"/>
          <w:marTop w:val="0"/>
          <w:marBottom w:val="0"/>
          <w:divBdr>
            <w:top w:val="none" w:sz="0" w:space="0" w:color="auto"/>
            <w:left w:val="none" w:sz="0" w:space="0" w:color="auto"/>
            <w:bottom w:val="none" w:sz="0" w:space="0" w:color="auto"/>
            <w:right w:val="none" w:sz="0" w:space="0" w:color="auto"/>
          </w:divBdr>
        </w:div>
        <w:div w:id="152600527">
          <w:marLeft w:val="0"/>
          <w:marRight w:val="0"/>
          <w:marTop w:val="0"/>
          <w:marBottom w:val="0"/>
          <w:divBdr>
            <w:top w:val="none" w:sz="0" w:space="0" w:color="auto"/>
            <w:left w:val="none" w:sz="0" w:space="0" w:color="auto"/>
            <w:bottom w:val="none" w:sz="0" w:space="0" w:color="auto"/>
            <w:right w:val="none" w:sz="0" w:space="0" w:color="auto"/>
          </w:divBdr>
        </w:div>
        <w:div w:id="1546914650">
          <w:marLeft w:val="0"/>
          <w:marRight w:val="0"/>
          <w:marTop w:val="0"/>
          <w:marBottom w:val="0"/>
          <w:divBdr>
            <w:top w:val="none" w:sz="0" w:space="0" w:color="auto"/>
            <w:left w:val="none" w:sz="0" w:space="0" w:color="auto"/>
            <w:bottom w:val="none" w:sz="0" w:space="0" w:color="auto"/>
            <w:right w:val="none" w:sz="0" w:space="0" w:color="auto"/>
          </w:divBdr>
        </w:div>
        <w:div w:id="2044397162">
          <w:marLeft w:val="0"/>
          <w:marRight w:val="0"/>
          <w:marTop w:val="0"/>
          <w:marBottom w:val="0"/>
          <w:divBdr>
            <w:top w:val="none" w:sz="0" w:space="0" w:color="auto"/>
            <w:left w:val="none" w:sz="0" w:space="0" w:color="auto"/>
            <w:bottom w:val="none" w:sz="0" w:space="0" w:color="auto"/>
            <w:right w:val="none" w:sz="0" w:space="0" w:color="auto"/>
          </w:divBdr>
        </w:div>
        <w:div w:id="758676797">
          <w:marLeft w:val="0"/>
          <w:marRight w:val="0"/>
          <w:marTop w:val="0"/>
          <w:marBottom w:val="0"/>
          <w:divBdr>
            <w:top w:val="none" w:sz="0" w:space="0" w:color="auto"/>
            <w:left w:val="none" w:sz="0" w:space="0" w:color="auto"/>
            <w:bottom w:val="none" w:sz="0" w:space="0" w:color="auto"/>
            <w:right w:val="none" w:sz="0" w:space="0" w:color="auto"/>
          </w:divBdr>
        </w:div>
        <w:div w:id="1097555533">
          <w:marLeft w:val="0"/>
          <w:marRight w:val="0"/>
          <w:marTop w:val="0"/>
          <w:marBottom w:val="0"/>
          <w:divBdr>
            <w:top w:val="none" w:sz="0" w:space="0" w:color="auto"/>
            <w:left w:val="none" w:sz="0" w:space="0" w:color="auto"/>
            <w:bottom w:val="none" w:sz="0" w:space="0" w:color="auto"/>
            <w:right w:val="none" w:sz="0" w:space="0" w:color="auto"/>
          </w:divBdr>
        </w:div>
        <w:div w:id="1544096748">
          <w:marLeft w:val="0"/>
          <w:marRight w:val="0"/>
          <w:marTop w:val="0"/>
          <w:marBottom w:val="0"/>
          <w:divBdr>
            <w:top w:val="none" w:sz="0" w:space="0" w:color="auto"/>
            <w:left w:val="none" w:sz="0" w:space="0" w:color="auto"/>
            <w:bottom w:val="none" w:sz="0" w:space="0" w:color="auto"/>
            <w:right w:val="none" w:sz="0" w:space="0" w:color="auto"/>
          </w:divBdr>
        </w:div>
        <w:div w:id="2052488672">
          <w:marLeft w:val="0"/>
          <w:marRight w:val="0"/>
          <w:marTop w:val="0"/>
          <w:marBottom w:val="0"/>
          <w:divBdr>
            <w:top w:val="none" w:sz="0" w:space="0" w:color="auto"/>
            <w:left w:val="none" w:sz="0" w:space="0" w:color="auto"/>
            <w:bottom w:val="none" w:sz="0" w:space="0" w:color="auto"/>
            <w:right w:val="none" w:sz="0" w:space="0" w:color="auto"/>
          </w:divBdr>
        </w:div>
        <w:div w:id="592511708">
          <w:marLeft w:val="0"/>
          <w:marRight w:val="0"/>
          <w:marTop w:val="0"/>
          <w:marBottom w:val="0"/>
          <w:divBdr>
            <w:top w:val="none" w:sz="0" w:space="0" w:color="auto"/>
            <w:left w:val="none" w:sz="0" w:space="0" w:color="auto"/>
            <w:bottom w:val="none" w:sz="0" w:space="0" w:color="auto"/>
            <w:right w:val="none" w:sz="0" w:space="0" w:color="auto"/>
          </w:divBdr>
        </w:div>
        <w:div w:id="1208830926">
          <w:marLeft w:val="0"/>
          <w:marRight w:val="0"/>
          <w:marTop w:val="0"/>
          <w:marBottom w:val="0"/>
          <w:divBdr>
            <w:top w:val="none" w:sz="0" w:space="0" w:color="auto"/>
            <w:left w:val="none" w:sz="0" w:space="0" w:color="auto"/>
            <w:bottom w:val="none" w:sz="0" w:space="0" w:color="auto"/>
            <w:right w:val="none" w:sz="0" w:space="0" w:color="auto"/>
          </w:divBdr>
        </w:div>
        <w:div w:id="954868787">
          <w:marLeft w:val="0"/>
          <w:marRight w:val="0"/>
          <w:marTop w:val="0"/>
          <w:marBottom w:val="0"/>
          <w:divBdr>
            <w:top w:val="none" w:sz="0" w:space="0" w:color="auto"/>
            <w:left w:val="none" w:sz="0" w:space="0" w:color="auto"/>
            <w:bottom w:val="none" w:sz="0" w:space="0" w:color="auto"/>
            <w:right w:val="none" w:sz="0" w:space="0" w:color="auto"/>
          </w:divBdr>
        </w:div>
        <w:div w:id="1456757637">
          <w:marLeft w:val="0"/>
          <w:marRight w:val="0"/>
          <w:marTop w:val="0"/>
          <w:marBottom w:val="0"/>
          <w:divBdr>
            <w:top w:val="none" w:sz="0" w:space="0" w:color="auto"/>
            <w:left w:val="none" w:sz="0" w:space="0" w:color="auto"/>
            <w:bottom w:val="none" w:sz="0" w:space="0" w:color="auto"/>
            <w:right w:val="none" w:sz="0" w:space="0" w:color="auto"/>
          </w:divBdr>
        </w:div>
        <w:div w:id="775559912">
          <w:marLeft w:val="0"/>
          <w:marRight w:val="0"/>
          <w:marTop w:val="0"/>
          <w:marBottom w:val="0"/>
          <w:divBdr>
            <w:top w:val="none" w:sz="0" w:space="0" w:color="auto"/>
            <w:left w:val="none" w:sz="0" w:space="0" w:color="auto"/>
            <w:bottom w:val="none" w:sz="0" w:space="0" w:color="auto"/>
            <w:right w:val="none" w:sz="0" w:space="0" w:color="auto"/>
          </w:divBdr>
        </w:div>
        <w:div w:id="932081454">
          <w:marLeft w:val="0"/>
          <w:marRight w:val="0"/>
          <w:marTop w:val="0"/>
          <w:marBottom w:val="0"/>
          <w:divBdr>
            <w:top w:val="none" w:sz="0" w:space="0" w:color="auto"/>
            <w:left w:val="none" w:sz="0" w:space="0" w:color="auto"/>
            <w:bottom w:val="none" w:sz="0" w:space="0" w:color="auto"/>
            <w:right w:val="none" w:sz="0" w:space="0" w:color="auto"/>
          </w:divBdr>
        </w:div>
        <w:div w:id="1334841316">
          <w:marLeft w:val="0"/>
          <w:marRight w:val="0"/>
          <w:marTop w:val="0"/>
          <w:marBottom w:val="0"/>
          <w:divBdr>
            <w:top w:val="none" w:sz="0" w:space="0" w:color="auto"/>
            <w:left w:val="none" w:sz="0" w:space="0" w:color="auto"/>
            <w:bottom w:val="none" w:sz="0" w:space="0" w:color="auto"/>
            <w:right w:val="none" w:sz="0" w:space="0" w:color="auto"/>
          </w:divBdr>
        </w:div>
        <w:div w:id="410473040">
          <w:marLeft w:val="0"/>
          <w:marRight w:val="0"/>
          <w:marTop w:val="0"/>
          <w:marBottom w:val="0"/>
          <w:divBdr>
            <w:top w:val="none" w:sz="0" w:space="0" w:color="auto"/>
            <w:left w:val="none" w:sz="0" w:space="0" w:color="auto"/>
            <w:bottom w:val="none" w:sz="0" w:space="0" w:color="auto"/>
            <w:right w:val="none" w:sz="0" w:space="0" w:color="auto"/>
          </w:divBdr>
        </w:div>
        <w:div w:id="1746410928">
          <w:marLeft w:val="0"/>
          <w:marRight w:val="0"/>
          <w:marTop w:val="0"/>
          <w:marBottom w:val="0"/>
          <w:divBdr>
            <w:top w:val="none" w:sz="0" w:space="0" w:color="auto"/>
            <w:left w:val="none" w:sz="0" w:space="0" w:color="auto"/>
            <w:bottom w:val="none" w:sz="0" w:space="0" w:color="auto"/>
            <w:right w:val="none" w:sz="0" w:space="0" w:color="auto"/>
          </w:divBdr>
        </w:div>
        <w:div w:id="1868760598">
          <w:marLeft w:val="0"/>
          <w:marRight w:val="0"/>
          <w:marTop w:val="0"/>
          <w:marBottom w:val="0"/>
          <w:divBdr>
            <w:top w:val="none" w:sz="0" w:space="0" w:color="auto"/>
            <w:left w:val="none" w:sz="0" w:space="0" w:color="auto"/>
            <w:bottom w:val="none" w:sz="0" w:space="0" w:color="auto"/>
            <w:right w:val="none" w:sz="0" w:space="0" w:color="auto"/>
          </w:divBdr>
        </w:div>
        <w:div w:id="1962879060">
          <w:marLeft w:val="0"/>
          <w:marRight w:val="0"/>
          <w:marTop w:val="0"/>
          <w:marBottom w:val="0"/>
          <w:divBdr>
            <w:top w:val="none" w:sz="0" w:space="0" w:color="auto"/>
            <w:left w:val="none" w:sz="0" w:space="0" w:color="auto"/>
            <w:bottom w:val="none" w:sz="0" w:space="0" w:color="auto"/>
            <w:right w:val="none" w:sz="0" w:space="0" w:color="auto"/>
          </w:divBdr>
        </w:div>
        <w:div w:id="740568463">
          <w:marLeft w:val="0"/>
          <w:marRight w:val="0"/>
          <w:marTop w:val="0"/>
          <w:marBottom w:val="0"/>
          <w:divBdr>
            <w:top w:val="none" w:sz="0" w:space="0" w:color="auto"/>
            <w:left w:val="none" w:sz="0" w:space="0" w:color="auto"/>
            <w:bottom w:val="none" w:sz="0" w:space="0" w:color="auto"/>
            <w:right w:val="none" w:sz="0" w:space="0" w:color="auto"/>
          </w:divBdr>
        </w:div>
        <w:div w:id="1409187177">
          <w:marLeft w:val="0"/>
          <w:marRight w:val="0"/>
          <w:marTop w:val="0"/>
          <w:marBottom w:val="0"/>
          <w:divBdr>
            <w:top w:val="none" w:sz="0" w:space="0" w:color="auto"/>
            <w:left w:val="none" w:sz="0" w:space="0" w:color="auto"/>
            <w:bottom w:val="none" w:sz="0" w:space="0" w:color="auto"/>
            <w:right w:val="none" w:sz="0" w:space="0" w:color="auto"/>
          </w:divBdr>
        </w:div>
        <w:div w:id="1619868443">
          <w:marLeft w:val="0"/>
          <w:marRight w:val="0"/>
          <w:marTop w:val="0"/>
          <w:marBottom w:val="0"/>
          <w:divBdr>
            <w:top w:val="none" w:sz="0" w:space="0" w:color="auto"/>
            <w:left w:val="none" w:sz="0" w:space="0" w:color="auto"/>
            <w:bottom w:val="none" w:sz="0" w:space="0" w:color="auto"/>
            <w:right w:val="none" w:sz="0" w:space="0" w:color="auto"/>
          </w:divBdr>
        </w:div>
        <w:div w:id="564146421">
          <w:marLeft w:val="0"/>
          <w:marRight w:val="0"/>
          <w:marTop w:val="0"/>
          <w:marBottom w:val="0"/>
          <w:divBdr>
            <w:top w:val="none" w:sz="0" w:space="0" w:color="auto"/>
            <w:left w:val="none" w:sz="0" w:space="0" w:color="auto"/>
            <w:bottom w:val="none" w:sz="0" w:space="0" w:color="auto"/>
            <w:right w:val="none" w:sz="0" w:space="0" w:color="auto"/>
          </w:divBdr>
        </w:div>
        <w:div w:id="1207989013">
          <w:marLeft w:val="0"/>
          <w:marRight w:val="0"/>
          <w:marTop w:val="0"/>
          <w:marBottom w:val="0"/>
          <w:divBdr>
            <w:top w:val="none" w:sz="0" w:space="0" w:color="auto"/>
            <w:left w:val="none" w:sz="0" w:space="0" w:color="auto"/>
            <w:bottom w:val="none" w:sz="0" w:space="0" w:color="auto"/>
            <w:right w:val="none" w:sz="0" w:space="0" w:color="auto"/>
          </w:divBdr>
        </w:div>
        <w:div w:id="683555395">
          <w:marLeft w:val="0"/>
          <w:marRight w:val="0"/>
          <w:marTop w:val="0"/>
          <w:marBottom w:val="0"/>
          <w:divBdr>
            <w:top w:val="none" w:sz="0" w:space="0" w:color="auto"/>
            <w:left w:val="none" w:sz="0" w:space="0" w:color="auto"/>
            <w:bottom w:val="none" w:sz="0" w:space="0" w:color="auto"/>
            <w:right w:val="none" w:sz="0" w:space="0" w:color="auto"/>
          </w:divBdr>
        </w:div>
        <w:div w:id="643509799">
          <w:marLeft w:val="0"/>
          <w:marRight w:val="0"/>
          <w:marTop w:val="0"/>
          <w:marBottom w:val="0"/>
          <w:divBdr>
            <w:top w:val="none" w:sz="0" w:space="0" w:color="auto"/>
            <w:left w:val="none" w:sz="0" w:space="0" w:color="auto"/>
            <w:bottom w:val="none" w:sz="0" w:space="0" w:color="auto"/>
            <w:right w:val="none" w:sz="0" w:space="0" w:color="auto"/>
          </w:divBdr>
        </w:div>
        <w:div w:id="544680812">
          <w:marLeft w:val="0"/>
          <w:marRight w:val="0"/>
          <w:marTop w:val="0"/>
          <w:marBottom w:val="0"/>
          <w:divBdr>
            <w:top w:val="none" w:sz="0" w:space="0" w:color="auto"/>
            <w:left w:val="none" w:sz="0" w:space="0" w:color="auto"/>
            <w:bottom w:val="none" w:sz="0" w:space="0" w:color="auto"/>
            <w:right w:val="none" w:sz="0" w:space="0" w:color="auto"/>
          </w:divBdr>
        </w:div>
        <w:div w:id="1587615322">
          <w:marLeft w:val="0"/>
          <w:marRight w:val="0"/>
          <w:marTop w:val="0"/>
          <w:marBottom w:val="0"/>
          <w:divBdr>
            <w:top w:val="none" w:sz="0" w:space="0" w:color="auto"/>
            <w:left w:val="none" w:sz="0" w:space="0" w:color="auto"/>
            <w:bottom w:val="none" w:sz="0" w:space="0" w:color="auto"/>
            <w:right w:val="none" w:sz="0" w:space="0" w:color="auto"/>
          </w:divBdr>
        </w:div>
        <w:div w:id="285699153">
          <w:marLeft w:val="0"/>
          <w:marRight w:val="0"/>
          <w:marTop w:val="0"/>
          <w:marBottom w:val="0"/>
          <w:divBdr>
            <w:top w:val="none" w:sz="0" w:space="0" w:color="auto"/>
            <w:left w:val="none" w:sz="0" w:space="0" w:color="auto"/>
            <w:bottom w:val="none" w:sz="0" w:space="0" w:color="auto"/>
            <w:right w:val="none" w:sz="0" w:space="0" w:color="auto"/>
          </w:divBdr>
        </w:div>
        <w:div w:id="179440835">
          <w:marLeft w:val="0"/>
          <w:marRight w:val="0"/>
          <w:marTop w:val="0"/>
          <w:marBottom w:val="0"/>
          <w:divBdr>
            <w:top w:val="none" w:sz="0" w:space="0" w:color="auto"/>
            <w:left w:val="none" w:sz="0" w:space="0" w:color="auto"/>
            <w:bottom w:val="none" w:sz="0" w:space="0" w:color="auto"/>
            <w:right w:val="none" w:sz="0" w:space="0" w:color="auto"/>
          </w:divBdr>
        </w:div>
        <w:div w:id="371732521">
          <w:marLeft w:val="0"/>
          <w:marRight w:val="0"/>
          <w:marTop w:val="0"/>
          <w:marBottom w:val="0"/>
          <w:divBdr>
            <w:top w:val="none" w:sz="0" w:space="0" w:color="auto"/>
            <w:left w:val="none" w:sz="0" w:space="0" w:color="auto"/>
            <w:bottom w:val="none" w:sz="0" w:space="0" w:color="auto"/>
            <w:right w:val="none" w:sz="0" w:space="0" w:color="auto"/>
          </w:divBdr>
        </w:div>
        <w:div w:id="475685308">
          <w:marLeft w:val="0"/>
          <w:marRight w:val="0"/>
          <w:marTop w:val="0"/>
          <w:marBottom w:val="0"/>
          <w:divBdr>
            <w:top w:val="none" w:sz="0" w:space="0" w:color="auto"/>
            <w:left w:val="none" w:sz="0" w:space="0" w:color="auto"/>
            <w:bottom w:val="none" w:sz="0" w:space="0" w:color="auto"/>
            <w:right w:val="none" w:sz="0" w:space="0" w:color="auto"/>
          </w:divBdr>
        </w:div>
        <w:div w:id="543447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hyperlink" Target="https://multimedia.posibnyky.vntu.edu.ua/mm/Ukraine-EU/txt/04.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mfa.gov.ua/ua/about-ukraine/european-integration/Ukraine-EU-Summits" TargetMode="External"/><Relationship Id="rId5" Type="http://schemas.openxmlformats.org/officeDocument/2006/relationships/hyperlink" Target="https://multimedia.posibnyky.vntu.edu.ua/mm/Ukraine-EU/txt/04.htm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ukraine-eu.mfa.gov.ua/ua/ukraine-eu/trade-and-economic/ukraine-eu-trade" TargetMode="External"/><Relationship Id="rId44" Type="http://schemas.openxmlformats.org/officeDocument/2006/relationships/theme" Target="theme/theme1.xml"/><Relationship Id="rId4" Type="http://schemas.openxmlformats.org/officeDocument/2006/relationships/hyperlink" Target="https://multimedia.posibnyky.vntu.edu.ua/mm/Ukraine-EU/txt/04.html"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25729</Words>
  <Characters>14667</Characters>
  <Application>Microsoft Office Word</Application>
  <DocSecurity>0</DocSecurity>
  <Lines>122</Lines>
  <Paragraphs>80</Paragraphs>
  <ScaleCrop>false</ScaleCrop>
  <Company/>
  <LinksUpToDate>false</LinksUpToDate>
  <CharactersWithSpaces>40316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1</cp:revision>
  <dcterms:created xsi:type="dcterms:W3CDTF">2023-10-18T07:52:00Z</dcterms:created>
  <dcterms:modified xsi:type="dcterms:W3CDTF">2023-10-18T07:54:00Z</dcterms:modified>
</cp:coreProperties>
</file>