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27" w:rsidRPr="00803D15" w:rsidRDefault="00201327" w:rsidP="00201327">
      <w:pPr>
        <w:pStyle w:val="a3"/>
        <w:spacing w:after="0" w:line="360" w:lineRule="auto"/>
        <w:rPr>
          <w:b/>
          <w:sz w:val="28"/>
          <w:szCs w:val="28"/>
        </w:rPr>
      </w:pPr>
      <w:r w:rsidRPr="00803D15">
        <w:rPr>
          <w:b/>
          <w:sz w:val="28"/>
          <w:szCs w:val="28"/>
        </w:rPr>
        <w:t>Стратегія і тактика виборчої кампанії.</w:t>
      </w:r>
    </w:p>
    <w:p w:rsidR="00201327" w:rsidRPr="00803D15" w:rsidRDefault="00201327" w:rsidP="00201327">
      <w:pPr>
        <w:spacing w:line="360" w:lineRule="auto"/>
        <w:rPr>
          <w:b/>
          <w:sz w:val="28"/>
          <w:szCs w:val="28"/>
        </w:rPr>
      </w:pPr>
    </w:p>
    <w:p w:rsidR="00201327" w:rsidRPr="00803D15" w:rsidRDefault="00201327" w:rsidP="00201327">
      <w:pPr>
        <w:spacing w:line="360" w:lineRule="auto"/>
        <w:jc w:val="both"/>
        <w:rPr>
          <w:sz w:val="28"/>
          <w:szCs w:val="28"/>
        </w:rPr>
      </w:pPr>
      <w:r w:rsidRPr="00803D15">
        <w:rPr>
          <w:b/>
          <w:sz w:val="28"/>
          <w:szCs w:val="28"/>
        </w:rPr>
        <w:t xml:space="preserve">Тема </w:t>
      </w:r>
      <w:r>
        <w:rPr>
          <w:b/>
          <w:sz w:val="28"/>
          <w:szCs w:val="28"/>
        </w:rPr>
        <w:t>4</w:t>
      </w:r>
      <w:r w:rsidRPr="00803D15">
        <w:rPr>
          <w:b/>
          <w:sz w:val="28"/>
          <w:szCs w:val="28"/>
        </w:rPr>
        <w:t>.</w:t>
      </w:r>
      <w:r w:rsidRPr="00803D15">
        <w:rPr>
          <w:sz w:val="28"/>
          <w:szCs w:val="28"/>
        </w:rPr>
        <w:t xml:space="preserve"> </w:t>
      </w:r>
      <w:r w:rsidRPr="00C965AD">
        <w:rPr>
          <w:b/>
          <w:sz w:val="28"/>
          <w:szCs w:val="28"/>
        </w:rPr>
        <w:t>Стратегія і тактика виборчої кампанії.</w:t>
      </w:r>
      <w:r w:rsidRPr="00803D15">
        <w:rPr>
          <w:sz w:val="28"/>
          <w:szCs w:val="28"/>
        </w:rPr>
        <w:t xml:space="preserve"> Створення тактики ведення передвиборчої діяльності. Визначення шляхів подолання головних проблем, що стоять перед виборцем. Визначення головних складових: очікувань виборців, ресурсів кандидата, цілей кампанії. Вдосконалення тактики виборчої компанії. Постійний моніторинг ситуації в окрузі. Типи політичних лідерів. Визначення типу політичного лідера згідно з очікуваннями та настроями виборців. Імідж кандидата та шляхи його модернізації. Складові іміджу кандидата. Шляхи модернізації іміджу кандидата.</w:t>
      </w:r>
      <w:r>
        <w:rPr>
          <w:sz w:val="28"/>
          <w:szCs w:val="28"/>
        </w:rPr>
        <w:t xml:space="preserve"> </w:t>
      </w:r>
      <w:r w:rsidRPr="00803D15">
        <w:rPr>
          <w:sz w:val="28"/>
          <w:szCs w:val="28"/>
        </w:rPr>
        <w:t>Іміджмейкер в команді кандидата. Засоби впливу на виборців. Типи комунікацій. Комунікативні та психологічні “прописи”.</w:t>
      </w:r>
    </w:p>
    <w:p w:rsidR="00201327" w:rsidRPr="00803D15" w:rsidRDefault="00201327" w:rsidP="00201327">
      <w:pPr>
        <w:spacing w:line="360" w:lineRule="auto"/>
        <w:jc w:val="both"/>
        <w:rPr>
          <w:b/>
          <w:sz w:val="28"/>
          <w:szCs w:val="28"/>
        </w:rPr>
      </w:pPr>
    </w:p>
    <w:p w:rsidR="00201327" w:rsidRPr="00803D15" w:rsidRDefault="00201327" w:rsidP="00201327">
      <w:pPr>
        <w:pStyle w:val="1"/>
        <w:tabs>
          <w:tab w:val="clear" w:pos="1850"/>
        </w:tabs>
        <w:spacing w:after="0" w:line="360" w:lineRule="auto"/>
        <w:ind w:left="0" w:firstLine="0"/>
        <w:jc w:val="both"/>
        <w:rPr>
          <w:rFonts w:ascii="Times New Roman" w:hAnsi="Times New Roman" w:cs="Times New Roman"/>
          <w:sz w:val="28"/>
          <w:szCs w:val="28"/>
        </w:rPr>
      </w:pPr>
      <w:r w:rsidRPr="00C965AD">
        <w:rPr>
          <w:rFonts w:ascii="Times New Roman" w:hAnsi="Times New Roman" w:cs="Times New Roman"/>
          <w:caps w:val="0"/>
          <w:sz w:val="28"/>
          <w:szCs w:val="28"/>
        </w:rPr>
        <w:t xml:space="preserve">Тема 5. </w:t>
      </w:r>
      <w:r w:rsidRPr="00C965AD">
        <w:rPr>
          <w:rFonts w:ascii="Times New Roman" w:hAnsi="Times New Roman" w:cs="Times New Roman"/>
          <w:sz w:val="28"/>
          <w:szCs w:val="28"/>
        </w:rPr>
        <w:t xml:space="preserve"> </w:t>
      </w:r>
      <w:r w:rsidRPr="00C965AD">
        <w:rPr>
          <w:rFonts w:ascii="Times New Roman" w:hAnsi="Times New Roman" w:cs="Times New Roman"/>
          <w:caps w:val="0"/>
          <w:sz w:val="28"/>
          <w:szCs w:val="28"/>
        </w:rPr>
        <w:t>Президентські вибори в Україні.</w:t>
      </w:r>
      <w:r w:rsidRPr="00803D15">
        <w:rPr>
          <w:rFonts w:ascii="Times New Roman" w:hAnsi="Times New Roman" w:cs="Times New Roman"/>
          <w:b w:val="0"/>
          <w:caps w:val="0"/>
          <w:sz w:val="28"/>
          <w:szCs w:val="28"/>
        </w:rPr>
        <w:t xml:space="preserve"> Імідж кандидатів. Передвиборчі програми. Виборчі технології. Вибори до верховної ради України 2002 року. Імідж кандидатів</w:t>
      </w:r>
      <w:r w:rsidRPr="00803D15">
        <w:rPr>
          <w:rFonts w:ascii="Times New Roman" w:hAnsi="Times New Roman" w:cs="Times New Roman"/>
          <w:b w:val="0"/>
          <w:sz w:val="28"/>
          <w:szCs w:val="28"/>
        </w:rPr>
        <w:t xml:space="preserve">. </w:t>
      </w:r>
      <w:r w:rsidRPr="00803D15">
        <w:rPr>
          <w:rFonts w:ascii="Times New Roman" w:hAnsi="Times New Roman" w:cs="Times New Roman"/>
          <w:b w:val="0"/>
          <w:caps w:val="0"/>
          <w:sz w:val="28"/>
          <w:szCs w:val="28"/>
        </w:rPr>
        <w:t>Передвиборчі програми. Виборчі технології</w:t>
      </w:r>
      <w:r w:rsidRPr="00803D15">
        <w:rPr>
          <w:rFonts w:ascii="Times New Roman" w:hAnsi="Times New Roman" w:cs="Times New Roman"/>
          <w:b w:val="0"/>
          <w:sz w:val="28"/>
          <w:szCs w:val="28"/>
        </w:rPr>
        <w:t xml:space="preserve">. </w:t>
      </w:r>
      <w:r w:rsidRPr="00803D15">
        <w:rPr>
          <w:rFonts w:ascii="Times New Roman" w:hAnsi="Times New Roman" w:cs="Times New Roman"/>
          <w:b w:val="0"/>
          <w:caps w:val="0"/>
          <w:sz w:val="28"/>
          <w:szCs w:val="28"/>
        </w:rPr>
        <w:t>Особливості використання виборчих технологій під час виборів президента України 2004 року. Особливості використання виборчих технологій під час виборів президента України 2010  року. Особливості використання виборчих технологій під час виборів президента України 2014</w:t>
      </w:r>
      <w:r>
        <w:rPr>
          <w:rFonts w:ascii="Times New Roman" w:hAnsi="Times New Roman" w:cs="Times New Roman"/>
          <w:b w:val="0"/>
          <w:caps w:val="0"/>
          <w:sz w:val="28"/>
          <w:szCs w:val="28"/>
        </w:rPr>
        <w:t>, 2019</w:t>
      </w:r>
      <w:r w:rsidRPr="00803D15">
        <w:rPr>
          <w:rFonts w:ascii="Times New Roman" w:hAnsi="Times New Roman" w:cs="Times New Roman"/>
          <w:b w:val="0"/>
          <w:caps w:val="0"/>
          <w:sz w:val="28"/>
          <w:szCs w:val="28"/>
        </w:rPr>
        <w:t xml:space="preserve"> рок</w:t>
      </w:r>
      <w:r>
        <w:rPr>
          <w:rFonts w:ascii="Times New Roman" w:hAnsi="Times New Roman" w:cs="Times New Roman"/>
          <w:b w:val="0"/>
          <w:caps w:val="0"/>
          <w:sz w:val="28"/>
          <w:szCs w:val="28"/>
        </w:rPr>
        <w:t>ів</w:t>
      </w:r>
      <w:bookmarkStart w:id="0" w:name="_GoBack"/>
      <w:bookmarkEnd w:id="0"/>
      <w:r w:rsidRPr="00803D15">
        <w:rPr>
          <w:rFonts w:ascii="Times New Roman" w:hAnsi="Times New Roman" w:cs="Times New Roman"/>
          <w:b w:val="0"/>
          <w:caps w:val="0"/>
          <w:sz w:val="28"/>
          <w:szCs w:val="28"/>
        </w:rPr>
        <w:t>. Аналіз передвиборчої ситуації та специфіка виборів. Імідж кандидатів. Перевиборчі програми.</w:t>
      </w:r>
    </w:p>
    <w:p w:rsidR="00201327" w:rsidRPr="00803D15" w:rsidRDefault="00201327" w:rsidP="00201327">
      <w:pPr>
        <w:spacing w:line="360" w:lineRule="auto"/>
        <w:jc w:val="both"/>
        <w:rPr>
          <w:sz w:val="28"/>
          <w:szCs w:val="28"/>
        </w:rPr>
      </w:pPr>
      <w:r w:rsidRPr="00803D15">
        <w:rPr>
          <w:b/>
          <w:sz w:val="28"/>
          <w:szCs w:val="28"/>
        </w:rPr>
        <w:t xml:space="preserve">Тема </w:t>
      </w:r>
      <w:r>
        <w:rPr>
          <w:b/>
          <w:sz w:val="28"/>
          <w:szCs w:val="28"/>
        </w:rPr>
        <w:t>6</w:t>
      </w:r>
      <w:r w:rsidRPr="00803D15">
        <w:rPr>
          <w:b/>
          <w:sz w:val="28"/>
          <w:szCs w:val="28"/>
        </w:rPr>
        <w:t>.</w:t>
      </w:r>
      <w:r w:rsidRPr="00803D15">
        <w:rPr>
          <w:sz w:val="28"/>
          <w:szCs w:val="28"/>
        </w:rPr>
        <w:t xml:space="preserve"> </w:t>
      </w:r>
      <w:r w:rsidRPr="00C965AD">
        <w:rPr>
          <w:b/>
          <w:sz w:val="28"/>
          <w:szCs w:val="28"/>
        </w:rPr>
        <w:t xml:space="preserve">Особливості використання виборчих технологій. </w:t>
      </w:r>
      <w:r w:rsidRPr="00803D15">
        <w:rPr>
          <w:sz w:val="28"/>
          <w:szCs w:val="28"/>
        </w:rPr>
        <w:t xml:space="preserve">Мотиваційний аспект у виборчих технологіях. Методи впливу на виборців. Роз’яснювальна робота серед виборців. Організація масових акцій. Рольова гра «Вибори президента». Цілі та завдання гри. Сценарій рольової гри. Вимоги до учасників. Критерії оцінювання. Підведення підсумків та оцінка результатів рольової гри. Загальна характеристика партій та блоків, які брали участь у виборах. Особливості побудови та подання іміджу партій, виборчих блоків та їх лідерів. </w:t>
      </w:r>
      <w:r w:rsidRPr="00803D15">
        <w:rPr>
          <w:sz w:val="28"/>
          <w:szCs w:val="28"/>
        </w:rPr>
        <w:lastRenderedPageBreak/>
        <w:t>Використання «брудних» технологій в процесі передвиборчої агітації. Роль ЗМІ у виборчій кампанії. Аналіз результатів та наслідків виборів.</w:t>
      </w:r>
    </w:p>
    <w:p w:rsidR="00201327" w:rsidRPr="00177304" w:rsidRDefault="00201327" w:rsidP="00201327">
      <w:pPr>
        <w:pStyle w:val="a3"/>
        <w:spacing w:after="0"/>
        <w:jc w:val="both"/>
      </w:pPr>
    </w:p>
    <w:p w:rsidR="00A36598" w:rsidRDefault="00201327"/>
    <w:sectPr w:rsidR="00A3659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57"/>
    <w:rsid w:val="00096B3D"/>
    <w:rsid w:val="00201327"/>
    <w:rsid w:val="006642B4"/>
    <w:rsid w:val="00C8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412A"/>
  <w15:chartTrackingRefBased/>
  <w15:docId w15:val="{BC380CED-96CC-43C4-91BB-0EC5400C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327"/>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201327"/>
    <w:pPr>
      <w:keepNext/>
      <w:tabs>
        <w:tab w:val="num" w:pos="1850"/>
      </w:tabs>
      <w:spacing w:after="240"/>
      <w:ind w:left="1850" w:hanging="432"/>
      <w:jc w:val="center"/>
      <w:outlineLvl w:val="0"/>
    </w:pPr>
    <w:rPr>
      <w:rFonts w:ascii="Arial" w:hAnsi="Arial" w:cs="Arial"/>
      <w:b/>
      <w:bCs/>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327"/>
    <w:rPr>
      <w:rFonts w:ascii="Arial" w:eastAsia="Times New Roman" w:hAnsi="Arial" w:cs="Arial"/>
      <w:b/>
      <w:bCs/>
      <w:caps/>
      <w:sz w:val="20"/>
      <w:szCs w:val="20"/>
      <w:lang w:val="uk-UA" w:eastAsia="ar-SA"/>
    </w:rPr>
  </w:style>
  <w:style w:type="paragraph" w:styleId="a3">
    <w:name w:val="Body Text"/>
    <w:basedOn w:val="a"/>
    <w:link w:val="a4"/>
    <w:rsid w:val="00201327"/>
    <w:pPr>
      <w:spacing w:after="120"/>
    </w:pPr>
  </w:style>
  <w:style w:type="character" w:customStyle="1" w:styleId="a4">
    <w:name w:val="Основной текст Знак"/>
    <w:basedOn w:val="a0"/>
    <w:link w:val="a3"/>
    <w:rsid w:val="00201327"/>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2023-10-18T15:51:00Z</dcterms:created>
  <dcterms:modified xsi:type="dcterms:W3CDTF">2023-10-18T15:52:00Z</dcterms:modified>
</cp:coreProperties>
</file>