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5DD7" w14:textId="77777777" w:rsidR="00D4501A" w:rsidRPr="008A01D4" w:rsidRDefault="00D4501A" w:rsidP="00D4501A">
      <w:pPr>
        <w:jc w:val="center"/>
        <w:rPr>
          <w:b/>
          <w:sz w:val="28"/>
          <w:szCs w:val="28"/>
        </w:rPr>
      </w:pPr>
      <w:r w:rsidRPr="008A01D4">
        <w:rPr>
          <w:b/>
          <w:sz w:val="28"/>
          <w:szCs w:val="28"/>
        </w:rPr>
        <w:t>ТЕМА 5. МОНІТОРИНГ СТАНУ АГРОЛАНДШАФТІВ</w:t>
      </w:r>
    </w:p>
    <w:p w14:paraId="095FEDD5" w14:textId="77777777" w:rsidR="00D4501A" w:rsidRPr="008A01D4" w:rsidRDefault="00D4501A" w:rsidP="00D4501A">
      <w:pPr>
        <w:ind w:firstLine="709"/>
        <w:rPr>
          <w:sz w:val="28"/>
          <w:szCs w:val="28"/>
        </w:rPr>
      </w:pPr>
    </w:p>
    <w:p w14:paraId="4033A712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b/>
          <w:sz w:val="28"/>
          <w:szCs w:val="28"/>
        </w:rPr>
        <w:t>Мета:</w:t>
      </w:r>
      <w:r w:rsidRPr="008A01D4">
        <w:rPr>
          <w:sz w:val="28"/>
          <w:szCs w:val="28"/>
        </w:rPr>
        <w:t xml:space="preserve"> розглянути як здійснюється </w:t>
      </w:r>
      <w:r w:rsidRPr="008A01D4">
        <w:rPr>
          <w:sz w:val="28"/>
          <w:szCs w:val="28"/>
          <w:lang w:eastAsia="ru-RU"/>
        </w:rPr>
        <w:t xml:space="preserve">моніторинг стану органічної речовини в ґрунті, оцінка його параметрів і джерел відтворення в </w:t>
      </w:r>
      <w:proofErr w:type="spellStart"/>
      <w:r w:rsidRPr="008A01D4">
        <w:rPr>
          <w:sz w:val="28"/>
          <w:szCs w:val="28"/>
          <w:lang w:eastAsia="ru-RU"/>
        </w:rPr>
        <w:t>агроландшафтах</w:t>
      </w:r>
      <w:proofErr w:type="spellEnd"/>
      <w:r w:rsidRPr="008A01D4">
        <w:rPr>
          <w:sz w:val="28"/>
          <w:szCs w:val="28"/>
          <w:lang w:eastAsia="ru-RU"/>
        </w:rPr>
        <w:t>, проаналізувати особливості</w:t>
      </w:r>
      <w:r w:rsidRPr="008A01D4">
        <w:rPr>
          <w:sz w:val="28"/>
          <w:szCs w:val="28"/>
        </w:rPr>
        <w:t xml:space="preserve"> моніторингу біологічної активності ґрунтів сільськогосподарського призначення.</w:t>
      </w:r>
    </w:p>
    <w:p w14:paraId="189D3B34" w14:textId="77777777" w:rsidR="00D4501A" w:rsidRPr="008A01D4" w:rsidRDefault="00D4501A" w:rsidP="00D4501A">
      <w:pPr>
        <w:ind w:firstLine="709"/>
        <w:rPr>
          <w:sz w:val="28"/>
          <w:szCs w:val="28"/>
        </w:rPr>
      </w:pPr>
    </w:p>
    <w:p w14:paraId="62F4EF50" w14:textId="77777777" w:rsidR="00D4501A" w:rsidRPr="008A01D4" w:rsidRDefault="00D4501A" w:rsidP="00D4501A">
      <w:pPr>
        <w:ind w:firstLine="709"/>
        <w:jc w:val="center"/>
        <w:rPr>
          <w:b/>
          <w:sz w:val="28"/>
          <w:szCs w:val="28"/>
        </w:rPr>
      </w:pPr>
      <w:r w:rsidRPr="008A01D4">
        <w:rPr>
          <w:b/>
          <w:sz w:val="28"/>
          <w:szCs w:val="28"/>
        </w:rPr>
        <w:t>План</w:t>
      </w:r>
    </w:p>
    <w:p w14:paraId="698DBD75" w14:textId="77777777" w:rsidR="00D4501A" w:rsidRPr="008A01D4" w:rsidRDefault="00D4501A" w:rsidP="00D4501A">
      <w:pPr>
        <w:ind w:firstLine="709"/>
        <w:rPr>
          <w:sz w:val="28"/>
          <w:szCs w:val="28"/>
        </w:rPr>
      </w:pPr>
      <w:r w:rsidRPr="008A01D4">
        <w:rPr>
          <w:sz w:val="28"/>
          <w:szCs w:val="28"/>
          <w:lang w:eastAsia="ru-RU"/>
        </w:rPr>
        <w:t xml:space="preserve">1.Моніторинг стану органічної речовини в ґрунті, оцінка його параметрів і джерел відтворення в </w:t>
      </w:r>
      <w:proofErr w:type="spellStart"/>
      <w:r w:rsidRPr="008A01D4">
        <w:rPr>
          <w:sz w:val="28"/>
          <w:szCs w:val="28"/>
          <w:lang w:eastAsia="ru-RU"/>
        </w:rPr>
        <w:t>агроландшафтах</w:t>
      </w:r>
      <w:proofErr w:type="spellEnd"/>
      <w:r w:rsidRPr="008A01D4">
        <w:rPr>
          <w:sz w:val="28"/>
          <w:szCs w:val="28"/>
          <w:lang w:eastAsia="ru-RU"/>
        </w:rPr>
        <w:t>.</w:t>
      </w:r>
      <w:r w:rsidRPr="008A01D4">
        <w:rPr>
          <w:sz w:val="28"/>
          <w:szCs w:val="28"/>
        </w:rPr>
        <w:t xml:space="preserve"> </w:t>
      </w:r>
    </w:p>
    <w:p w14:paraId="7DAA12D5" w14:textId="77777777" w:rsidR="00D4501A" w:rsidRPr="008A01D4" w:rsidRDefault="00D4501A" w:rsidP="00D4501A">
      <w:pPr>
        <w:ind w:firstLine="709"/>
        <w:rPr>
          <w:sz w:val="28"/>
          <w:szCs w:val="28"/>
        </w:rPr>
      </w:pPr>
      <w:r w:rsidRPr="008A01D4">
        <w:rPr>
          <w:sz w:val="28"/>
          <w:szCs w:val="28"/>
        </w:rPr>
        <w:t>2.Моніторинг біологічної активності ґрунтів сільськогосподарського призначення.</w:t>
      </w:r>
    </w:p>
    <w:p w14:paraId="00A173B6" w14:textId="77777777" w:rsidR="00D4501A" w:rsidRPr="008A01D4" w:rsidRDefault="00D4501A" w:rsidP="00D4501A">
      <w:pPr>
        <w:ind w:firstLine="709"/>
        <w:rPr>
          <w:sz w:val="28"/>
          <w:szCs w:val="28"/>
        </w:rPr>
      </w:pPr>
    </w:p>
    <w:p w14:paraId="4CE0CA2F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rFonts w:ascii="Segoe UI Symbol" w:hAnsi="Segoe UI Symbol" w:cs="Segoe UI Symbol"/>
          <w:sz w:val="28"/>
          <w:szCs w:val="28"/>
        </w:rPr>
        <w:t>🖉</w:t>
      </w:r>
      <w:r w:rsidRPr="008A01D4">
        <w:rPr>
          <w:b/>
          <w:bCs/>
          <w:sz w:val="28"/>
          <w:szCs w:val="28"/>
        </w:rPr>
        <w:t>Основні поняття</w:t>
      </w:r>
      <w:r w:rsidRPr="008A01D4">
        <w:rPr>
          <w:sz w:val="28"/>
          <w:szCs w:val="28"/>
        </w:rPr>
        <w:t xml:space="preserve">: екологічно адаптовані системи землеробства; вміст рухливого фосфору в ґрунті; максимально допустимі рівні вмісту токсикантів в рослинницькій продукції (МДР); потенціал біологічного азоту; ґрунтові мікроорганізми; </w:t>
      </w:r>
      <w:proofErr w:type="spellStart"/>
      <w:r w:rsidRPr="008A01D4">
        <w:rPr>
          <w:sz w:val="28"/>
          <w:szCs w:val="28"/>
        </w:rPr>
        <w:t>мікробіота</w:t>
      </w:r>
      <w:proofErr w:type="spellEnd"/>
      <w:r w:rsidRPr="008A01D4">
        <w:rPr>
          <w:sz w:val="28"/>
          <w:szCs w:val="28"/>
        </w:rPr>
        <w:t>.</w:t>
      </w:r>
    </w:p>
    <w:p w14:paraId="66B94856" w14:textId="77777777" w:rsidR="00D4501A" w:rsidRPr="008A01D4" w:rsidRDefault="00D4501A" w:rsidP="00D4501A">
      <w:pPr>
        <w:ind w:firstLine="709"/>
        <w:rPr>
          <w:sz w:val="28"/>
          <w:szCs w:val="28"/>
        </w:rPr>
      </w:pPr>
    </w:p>
    <w:p w14:paraId="6D18F9AF" w14:textId="77777777" w:rsidR="00D4501A" w:rsidRPr="008A01D4" w:rsidRDefault="00D4501A" w:rsidP="00D4501A">
      <w:pPr>
        <w:ind w:firstLine="709"/>
        <w:jc w:val="center"/>
        <w:rPr>
          <w:b/>
          <w:sz w:val="28"/>
          <w:szCs w:val="28"/>
        </w:rPr>
      </w:pPr>
      <w:r w:rsidRPr="008A01D4">
        <w:rPr>
          <w:b/>
          <w:sz w:val="28"/>
          <w:szCs w:val="28"/>
          <w:lang w:eastAsia="ru-RU"/>
        </w:rPr>
        <w:t xml:space="preserve">1.Моніторинг стану органічної речовини в ґрунті, оцінка його параметрів і джерел відтворення в </w:t>
      </w:r>
      <w:proofErr w:type="spellStart"/>
      <w:r w:rsidRPr="008A01D4">
        <w:rPr>
          <w:b/>
          <w:sz w:val="28"/>
          <w:szCs w:val="28"/>
          <w:lang w:eastAsia="ru-RU"/>
        </w:rPr>
        <w:t>агроландшафтах</w:t>
      </w:r>
      <w:proofErr w:type="spellEnd"/>
    </w:p>
    <w:p w14:paraId="722FA4BC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У формуванні екологічно адаптованих систем землеробства велике значення надаються біологічному азоту, що надходить в сферу матеріально-енергетичних перетворень в агроценозах за допомогою використання </w:t>
      </w:r>
      <w:proofErr w:type="spellStart"/>
      <w:r w:rsidRPr="008A01D4">
        <w:rPr>
          <w:sz w:val="28"/>
          <w:szCs w:val="28"/>
        </w:rPr>
        <w:t>продукційних</w:t>
      </w:r>
      <w:proofErr w:type="spellEnd"/>
      <w:r w:rsidRPr="008A01D4">
        <w:rPr>
          <w:sz w:val="28"/>
          <w:szCs w:val="28"/>
        </w:rPr>
        <w:t xml:space="preserve"> можливостей бобових культур (головним чином багаторічних трав). При розширеному відтворенні родючості ґрунтів вся технологія вирощування бобових культур і система добрив повинні сприяти максимальній симбіотичній фіксації азоту атмосфери й завдяки цьому забезпечувати збільшення врожайності без застосування азотних добрив. Без надійної інформації про реальний внесок біологічного азоту й органічної речовини бобових важко уникнути негативних економічних і екологічних наслідків. При цьому необхідно враховувати ґрунтово-кліматичні умови, насиченість сівозміни бобовими культурами і їхній видовий склад. </w:t>
      </w:r>
    </w:p>
    <w:p w14:paraId="28CFAB5F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Для реалізації потенціалу біологічного азоту в практиці землеробства необхідна достовірна інформація, що дозволяє розробити систему оціночних показників, основні з яких: </w:t>
      </w:r>
    </w:p>
    <w:p w14:paraId="41EE24B8" w14:textId="77777777" w:rsidR="00D4501A" w:rsidRPr="008A01D4" w:rsidRDefault="00D4501A" w:rsidP="00D4501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розміри азотфіксації бобовими при різній їхній урожайності; </w:t>
      </w:r>
    </w:p>
    <w:p w14:paraId="68036C13" w14:textId="77777777" w:rsidR="00D4501A" w:rsidRPr="008A01D4" w:rsidRDefault="00D4501A" w:rsidP="00D4501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кількість атмосферного азоту і надходження в ґрунт органічної речовини; </w:t>
      </w:r>
    </w:p>
    <w:p w14:paraId="66560ECF" w14:textId="77777777" w:rsidR="00D4501A" w:rsidRPr="008A01D4" w:rsidRDefault="00D4501A" w:rsidP="00D4501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можливі урожайності зернових за рахунок використання азоту бобових і потреба в мінеральному азоті при вирощуванні культур по бобових попередниках. </w:t>
      </w:r>
    </w:p>
    <w:p w14:paraId="0E830959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Вихідними даними для розв’язання цих питань повинні служити матеріали моніторингу агроландшафтів. У сівозмінах з бобовими коефіцієнт азотфіксації визначають для оцінки інтенсивності азотфіксації різними групами бобових залежно від досліджуваних факторів, а головним чином для </w:t>
      </w:r>
      <w:r w:rsidRPr="008A01D4">
        <w:rPr>
          <w:sz w:val="28"/>
          <w:szCs w:val="28"/>
        </w:rPr>
        <w:lastRenderedPageBreak/>
        <w:t xml:space="preserve">встановлення реального балансу азоту ґрунту. За допомогою коефіцієнта азотфіксації оцінюють частку симбіотичного азоту, що надійшов у ґрунт із залишками бобових (прибуткова стаття), а також відчуження бобовими азоту із ґрунту й добрив (видаткова стаття). </w:t>
      </w:r>
    </w:p>
    <w:p w14:paraId="540A4F42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Для культури бобових винос азоту NВ визначають із поправкою на азотфіксацію (однак цією вимогою часто зневажають) за формулою: </w:t>
      </w:r>
    </w:p>
    <w:p w14:paraId="2A8F6C19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</w:p>
    <w:p w14:paraId="5B32BBBE" w14:textId="77777777" w:rsidR="00D4501A" w:rsidRPr="008A01D4" w:rsidRDefault="00D4501A" w:rsidP="00D4501A">
      <w:pPr>
        <w:ind w:firstLine="709"/>
        <w:jc w:val="right"/>
        <w:rPr>
          <w:sz w:val="28"/>
          <w:szCs w:val="28"/>
        </w:rPr>
      </w:pPr>
      <w:r w:rsidRPr="008A01D4">
        <w:rPr>
          <w:sz w:val="28"/>
          <w:szCs w:val="28"/>
        </w:rPr>
        <w:t>NВ = NY (1– KФ),                                   (5.1)</w:t>
      </w:r>
    </w:p>
    <w:p w14:paraId="44595EDC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</w:p>
    <w:p w14:paraId="3398FAE9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де NY – загальний азот урожаю (основна й побічна продукція), кг/га; КФ – коефіцієнт азотфіксації. </w:t>
      </w:r>
    </w:p>
    <w:p w14:paraId="0EDE8015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</w:p>
    <w:p w14:paraId="08E46B64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Установлено, що у варіантах досліду із внесенням азотних добрив (особливо в підвищених дозах) коефіцієнт азотфіксації в бобових значно знижується. І в таких випадках винос азоту й добрив із ґрунту відповідно зростає, а надходження симбіотичного азоту в ґрунт зменшується. Для однорічних бобових культур масу органічної речовини, загального й симбіотичного азоту, що надходить у ґрунт, визначають щорічно наприкінці вегетації, для багаторічних бобових трав - у рік розорювання їхнього шару. Органічна речовина бобових, яка надходить у ґрунт, складається з маси пожнивних і кореневих залишків у шарі 0-40 см і активної органічної речовини, що випадає з безпосереднього обліку (дрібні живі й відмерлі корінці, бульбочки й т.д.). </w:t>
      </w:r>
    </w:p>
    <w:p w14:paraId="3DF892ED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Облік у цьому випадку ведуть з введенням корегувальних коефіцієнтів. Практично виконується наступна процедура. Спочатку враховують кореневу масу в шарі ґрунту 0-20 і 20-40 см, відмиваючи корінь від ґрунту на ситах з отворами 1,5-2,0 мм. Далі отриману облікову масу стерні і коріння множать на корегувальний коефіцієнт. У підсумку забезпечується відносна повнота обліку всієї органічної маси бобових, що надходять у ґрунт. </w:t>
      </w:r>
    </w:p>
    <w:p w14:paraId="04295F66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Орієнтовні поправочні коефіцієнти з урахуванням потужності кореневих систем різних видів груп бобових приймають наступні: </w:t>
      </w:r>
    </w:p>
    <w:p w14:paraId="423D829A" w14:textId="77777777" w:rsidR="00D4501A" w:rsidRPr="008A01D4" w:rsidRDefault="00D4501A" w:rsidP="00D4501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багаторічні бобові трави 2,0; </w:t>
      </w:r>
    </w:p>
    <w:p w14:paraId="4CC830C6" w14:textId="77777777" w:rsidR="00D4501A" w:rsidRPr="008A01D4" w:rsidRDefault="00D4501A" w:rsidP="00D4501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8A01D4">
        <w:rPr>
          <w:sz w:val="28"/>
          <w:szCs w:val="28"/>
        </w:rPr>
        <w:t>бобово</w:t>
      </w:r>
      <w:proofErr w:type="spellEnd"/>
      <w:r w:rsidRPr="008A01D4">
        <w:rPr>
          <w:sz w:val="28"/>
          <w:szCs w:val="28"/>
        </w:rPr>
        <w:t xml:space="preserve">-злакові суміші із часток бобового компонента більше 50 % 1,5; </w:t>
      </w:r>
    </w:p>
    <w:p w14:paraId="37040C2C" w14:textId="77777777" w:rsidR="00D4501A" w:rsidRPr="008A01D4" w:rsidRDefault="00D4501A" w:rsidP="00D4501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люпин кормовий, кормові боби (на сіно, зелений корм, силос) 1,6; </w:t>
      </w:r>
    </w:p>
    <w:p w14:paraId="3153D192" w14:textId="77777777" w:rsidR="00D4501A" w:rsidRPr="008A01D4" w:rsidRDefault="00D4501A" w:rsidP="00D4501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зернобобові 1,4; </w:t>
      </w:r>
    </w:p>
    <w:p w14:paraId="779BA2DB" w14:textId="77777777" w:rsidR="00D4501A" w:rsidRPr="008A01D4" w:rsidRDefault="00D4501A" w:rsidP="00D4501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однолітні </w:t>
      </w:r>
      <w:proofErr w:type="spellStart"/>
      <w:r w:rsidRPr="008A01D4">
        <w:rPr>
          <w:sz w:val="28"/>
          <w:szCs w:val="28"/>
        </w:rPr>
        <w:t>бобово</w:t>
      </w:r>
      <w:proofErr w:type="spellEnd"/>
      <w:r w:rsidRPr="008A01D4">
        <w:rPr>
          <w:sz w:val="28"/>
          <w:szCs w:val="28"/>
        </w:rPr>
        <w:t xml:space="preserve">-злакові трави 1,3; </w:t>
      </w:r>
    </w:p>
    <w:p w14:paraId="28C39D14" w14:textId="77777777" w:rsidR="00D4501A" w:rsidRPr="008A01D4" w:rsidRDefault="00D4501A" w:rsidP="00D4501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те ж с часткою бобового компонента більше 25-40% – 1,5. </w:t>
      </w:r>
    </w:p>
    <w:p w14:paraId="736DC2EF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Висока ефективність дії бобових попередників на наступні культури пояснюється не тільки кількістю біологічного азоту (прямій фактор), але й масою синтезованої органічної речовини в ґрунті (непрямий фактор), що поліпшує її структуру й водно-фізичні властивості. У результаті забезпечується більше тривалий тимчасовий ефект дії азоту бобових у порівнянні з азотом мінеральних добрив. У зв'язку із цим важливо перед посівом зернової культури при розрахунку оптимальних доз азотних добрив після бобових враховувати не тільки вміст мінерального азоту в ґрунті, але й </w:t>
      </w:r>
      <w:r w:rsidRPr="008A01D4">
        <w:rPr>
          <w:sz w:val="28"/>
          <w:szCs w:val="28"/>
        </w:rPr>
        <w:lastRenderedPageBreak/>
        <w:t xml:space="preserve">азот, що використовується наступною культурою в результаті мінералізації органічної маси бобових, що надійшла в ґрунт. </w:t>
      </w:r>
    </w:p>
    <w:p w14:paraId="54DC2D47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Найважливіший показник родючості, що визначає врожайність сільськогосподарських культур і ефективність дії добрив, – вміст рухливого фосфору в ґрунті, що також належить до об'єктів агроекологічного моніторингу. Завдання полягає в тім, щоб досягти в ґрунті такого вмісту фосфору, при якому він не був би фактором, що обмежує урожай. </w:t>
      </w:r>
    </w:p>
    <w:p w14:paraId="1DC1F0B6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Перша частина проблеми – створення певної кількості фосфору в ґрунті – обґрунтована дослідженнями системи «ґрунт – добрива – рослини». Установлено, що для забезпечення потреби рослин першорядне значення має концентрація фосфору в ґрунтовому розчині біля поверхні кореня. Ступінь концентрації залежить від поглинання фосфору коріннями рослин і відновлення її шляхом переходу фосфору із твердої фази. </w:t>
      </w:r>
    </w:p>
    <w:p w14:paraId="343C2985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Чим більше запас іонів, здатних до обміну між твердою й рідкою фазами ґрунту (фактор ємності), чим більше їхня рухливість (фактор інтенсивності), тим швидше концентрація відновлюється, а рослини краще забезпечуються фосфором. Очевидно, що для нормального росту й розвитку рослин ґрунт повинен мати такий запас фосфору, що забезпечує високу інтенсивність переходу фосфат-іонів із твердої фази в розчин. Запас рухливих фосфатів (фактор ємності) для кожної ґрунтової різниці визначають стандартним методом. У системі агроекологічного моніторингу для розв’язання питань оптимізації фосфорного живлення рослин можна застосовувати також методи рослинної діагностики, засновані на результатах фізіологічних і агрохімічних досліджень (певна залежність хімічного складу рослин по фазах і періодах вегетації від ступеня підживлення культур), які використовують у багатьох країнах. </w:t>
      </w:r>
    </w:p>
    <w:p w14:paraId="03119E06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Практичний досвід проведення рослинної діагностики показує, що реакція рослини на надходження й споживання живильних речовин проявляється досить швидко й досить точно відбиває їхній вміст. Очевидно, що еколого-агрохімічна оцінка фосфорних добрив повинна містити не тільки відомості про основний живильний елемент – фосфор, але й про наявність у складі добрива домішок, що представляють небезпеку для навколишнього природного середовища. Важкі метали, фтор і інші компоненти необхідно визначати в самих добривах, у ґрунті у випадку їхнього виявлення й у рослинній продукції по найбільш контрастних варіантах. У поліпшенні родючості ґрунтів, підвищенні продуктивності культур, що вирощуються, особливе значення мають органічні добрива. </w:t>
      </w:r>
    </w:p>
    <w:p w14:paraId="55E80353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Ці добрива є важливим джерелом поповнення запасів доступних рослинам живильних речовин, вони спричиняють позитивний меліоративний вплив на ґрунт, сприяючи, зокрема, оптимізації його гумусового стану. Відомо 39 позитивний вплив органічних добрив у нейтралізації токсичних властивостей важких металів у результаті зв'язування їх у малодоступні сполуки, ослабленні токсичної дії інших хімічних елементів. Наприклад, у Японії вміст кадмію в рисі знижувався при внесенні пташиного калу, компосту або борошна з рисової соломи. Зменшення токсичності поєднань хрому </w:t>
      </w:r>
      <w:r w:rsidRPr="008A01D4">
        <w:rPr>
          <w:sz w:val="28"/>
          <w:szCs w:val="28"/>
        </w:rPr>
        <w:lastRenderedPageBreak/>
        <w:t xml:space="preserve">відзначено при внесенні торфу або осаду стічних вод у кількості не менш 100 т/га. </w:t>
      </w:r>
    </w:p>
    <w:p w14:paraId="40D47B5E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Попри на велике виробниче значення органічних добрив, накопичено чимало даних про суттєві втрати органікою живильних елементів, високі концентрації токсичних речовин у сільськогосподарській продукції головним чином через порушення технології використання даного виду добрив (особливо різних видів безпідстилкового гною). Концентрація тваринництва, розвиток його на промисловій основі докорінно змінили структуру і якість органічних добрив. Скоротилася частка підстилкового гною (до 20% загальної маси); одночасно збільшився вихід безпідстилкового напіврідкого й рідкого гною й гнойових стоків. </w:t>
      </w:r>
    </w:p>
    <w:p w14:paraId="328DAB6D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Застосування високих доз безпідстилкового гною супроводжується нагромадженням фосфору в ґрунті, а також підвищенням його вмісту в ґрунтових водах. Із застосовуваної як добриво органіки найбільшу небезпеку для навколишнього середовища можуть представляти осади стічних вод. Застосування їх як добрива можливо в науково обґрунтованих дозах тільки після ретельного хімічного аналізу осадів і санітарної перевірки на спеціальних майданчиках. З огляду на можливість забруднення навколишнього середовища, необхідний постійний контроль за якістю органічних добрив, вмістом у них токсичних речовин, а також накопиченням останніх у ґрунті й рослинах. </w:t>
      </w:r>
    </w:p>
    <w:p w14:paraId="7FF64C1C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Розширене відтворення родючості ґрунтів є одним з найважливіших природоохоронних завдань, воно передбачає постійну турботу про поповнення запасів гумусу, що можливо при максимальному використанні різних видів органічних відходів як добрива. </w:t>
      </w:r>
    </w:p>
    <w:p w14:paraId="26D2D45F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Спостерігається прямий зв'язок - чим більше уваги приділяють грамотному використанню гною й інших органічних добрив, тим вище культура землеробства. Порушення науково обґрунтованих рекомендацій з виготовлення, зберігання й внесення органічних добрив не тільки істотно знижує їхню ефективність, але й помітно підвищує ймовірність забруднення природних комплексів і їхніх складових. Відповідно до вимог екологічної безпеки, необхідний обов'язковий контроль по основним блок-компонентам </w:t>
      </w:r>
      <w:proofErr w:type="spellStart"/>
      <w:r w:rsidRPr="008A01D4">
        <w:rPr>
          <w:sz w:val="28"/>
          <w:szCs w:val="28"/>
        </w:rPr>
        <w:t>агроекосистем</w:t>
      </w:r>
      <w:proofErr w:type="spellEnd"/>
      <w:r w:rsidRPr="008A01D4">
        <w:rPr>
          <w:sz w:val="28"/>
          <w:szCs w:val="28"/>
        </w:rPr>
        <w:t xml:space="preserve">. </w:t>
      </w:r>
    </w:p>
    <w:p w14:paraId="012A0048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Різні види органічних добрив необхідно аналізувати на зміст у них </w:t>
      </w:r>
      <w:proofErr w:type="spellStart"/>
      <w:r w:rsidRPr="008A01D4">
        <w:rPr>
          <w:sz w:val="28"/>
          <w:szCs w:val="28"/>
        </w:rPr>
        <w:t>макро</w:t>
      </w:r>
      <w:proofErr w:type="spellEnd"/>
      <w:r w:rsidRPr="008A01D4">
        <w:rPr>
          <w:sz w:val="28"/>
          <w:szCs w:val="28"/>
        </w:rPr>
        <w:t xml:space="preserve">- і мікроелементів, патогенної мікрофлори і яєць гельмінтів. У нетрадиційних видах органіки (сапропелі, усілякі </w:t>
      </w:r>
      <w:proofErr w:type="spellStart"/>
      <w:r w:rsidRPr="008A01D4">
        <w:rPr>
          <w:sz w:val="28"/>
          <w:szCs w:val="28"/>
        </w:rPr>
        <w:t>компости</w:t>
      </w:r>
      <w:proofErr w:type="spellEnd"/>
      <w:r w:rsidRPr="008A01D4">
        <w:rPr>
          <w:sz w:val="28"/>
          <w:szCs w:val="28"/>
        </w:rPr>
        <w:t xml:space="preserve">, сировиною для яких служать відходи промислових і сільськогосподарських підприємств) варто 40 додатково визначати зміст важких металів і залишкових кількостей пестицидів. </w:t>
      </w:r>
    </w:p>
    <w:p w14:paraId="43596D5F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>Закономірності поводження в об'єктах зовнішнього середовища (атмосфера, вода, ґрунт, рослина) великого набору хімічних засобів захисту рослин, регуляторів росту, інгібіторів, дефоліантів, а також нітратів, нітритів і важких металів досить добре вивчені в модельних експериментах. Установлено концентрації цих речовин і препаратів, що викликають загибель 50 % піддослідних тварин (ЛД</w:t>
      </w:r>
      <w:r w:rsidRPr="008A01D4">
        <w:rPr>
          <w:sz w:val="28"/>
          <w:szCs w:val="28"/>
          <w:vertAlign w:val="subscript"/>
        </w:rPr>
        <w:t>50</w:t>
      </w:r>
      <w:r w:rsidRPr="008A01D4">
        <w:rPr>
          <w:sz w:val="28"/>
          <w:szCs w:val="28"/>
        </w:rPr>
        <w:t xml:space="preserve">); виявлені періоди напіврозпаду хімічних </w:t>
      </w:r>
      <w:r w:rsidRPr="008A01D4">
        <w:rPr>
          <w:sz w:val="28"/>
          <w:szCs w:val="28"/>
        </w:rPr>
        <w:lastRenderedPageBreak/>
        <w:t>сполук в об'єктах зовнішнього середовища (Т½) і розпаду на 80 і 100 % (Т</w:t>
      </w:r>
      <w:r w:rsidRPr="008A01D4">
        <w:rPr>
          <w:sz w:val="28"/>
          <w:szCs w:val="28"/>
          <w:vertAlign w:val="subscript"/>
        </w:rPr>
        <w:t>80</w:t>
      </w:r>
      <w:r w:rsidRPr="008A01D4">
        <w:rPr>
          <w:sz w:val="28"/>
          <w:szCs w:val="28"/>
        </w:rPr>
        <w:t xml:space="preserve"> і Т</w:t>
      </w:r>
      <w:r w:rsidRPr="008A01D4">
        <w:rPr>
          <w:sz w:val="28"/>
          <w:szCs w:val="28"/>
          <w:vertAlign w:val="subscript"/>
        </w:rPr>
        <w:t>100</w:t>
      </w:r>
      <w:r w:rsidRPr="008A01D4">
        <w:rPr>
          <w:sz w:val="28"/>
          <w:szCs w:val="28"/>
        </w:rPr>
        <w:t xml:space="preserve">). Для багатьох речовин відомі закономірності динаміки їхньої трансформації й деградації в ґрунті й рослинах; найбільш істотні метаболіти; розроблені нормативи гранично допустимих концентрацій токсикантів в атмосфері, воді й ґрунті (ГДК) і максимально допустимі рівні їхнього вмісту в рослинницькій продукції (МДР), а також методи визначення залишкових кількостей пестицидів в об'єктах середовища. Однак цього поки недостатньо для того, щоб упевнено рекомендувати використання агрохімікатів у сучасних технологіях вирощування сільськогосподарських культур. </w:t>
      </w:r>
    </w:p>
    <w:p w14:paraId="58C5BD96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Суть питання в тім, що вищезгадані параметри практично не вивчені при комплексному застосуванні засобів хімізації. У практиці ж землеробства дуже рідкі випадки, коли використовують який-небудь один препарат. Звичайно вживається комплекс засобів хімізації, які застосовуються або спільно (у вигляді сумішей), або послідовно з короткими інтервалами. В обох випадках агрохімікати в ґрунті й рослинах вступають у складні взаємодії, характер і спрямованість яких можуть істотно відрізнятися. В остаточному підсумку закономірності, які були встановлені для «індивідуальних» речовин, що використовувались в чистому вигляді, змінюються. При комплексному застосуванні засобів хімізації виникають специфічні питання сумарної токсичності ґрунту, шкідливості (або нешкідливості) рослинницької продукції, які неможливо визначити традиційними методами. </w:t>
      </w:r>
    </w:p>
    <w:p w14:paraId="35071443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Залишкові кількості всіх препаратів, що застосовувалися, можуть бути на рівні МДР, однак чи відбувається синергічний ефект, однозначно відповісти сьогодні неможливо. Все це об'єктивно диктує необхідність проведення в стаціонарних тривалих дослідах або на полігонах агроекологічного моніторингу всебічних досліджень, що дозволяють одержати обґрунтовані порівняльні характеристики неоднакових за ступенем «насичення» агрохімікатами систем комплексного застосування засобів хімізації в сівозмінах різних типів. </w:t>
      </w:r>
    </w:p>
    <w:p w14:paraId="6BA10FFA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Важливий показник – динаміка вмісту пестицидів у ґрунті й рослинах. Для вивчення динаміки проби відбирають, як мінімум, в 3-4 строки: перший – у день обробки (вихідний вміст), а далі через 3-5, 15-30 і 41 50-60 діб після обробки, а також при збиранні урожаю. Найменші тимчасові інтервали беруть при використанні нестійких препаратів, найбільші – стійких. Залишкові кількості пестицидів у ґрунті й рослинах визначають офіційними методами, затвердженими уповноваженими на те органами (Державні </w:t>
      </w:r>
      <w:proofErr w:type="spellStart"/>
      <w:r w:rsidRPr="008A01D4">
        <w:rPr>
          <w:sz w:val="28"/>
          <w:szCs w:val="28"/>
        </w:rPr>
        <w:t>хімкомісії</w:t>
      </w:r>
      <w:proofErr w:type="spellEnd"/>
      <w:r w:rsidRPr="008A01D4">
        <w:rPr>
          <w:sz w:val="28"/>
          <w:szCs w:val="28"/>
        </w:rPr>
        <w:t xml:space="preserve">, Міністерство охорони здоров’я і ін.). </w:t>
      </w:r>
    </w:p>
    <w:p w14:paraId="1CEEC828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>Оцінюють отриману інформацію порівнянням з нормативами ГДК і МДР в ґрунті й рослинах. Паралельно із залишковою кількістю пестицидів у рослинних зразках на основі стандартних методів досліджується вміст токсикантів, що містять азот (N0</w:t>
      </w:r>
      <w:r w:rsidRPr="008A01D4">
        <w:rPr>
          <w:sz w:val="28"/>
          <w:szCs w:val="28"/>
          <w:vertAlign w:val="subscript"/>
        </w:rPr>
        <w:t>2</w:t>
      </w:r>
      <w:r w:rsidRPr="008A01D4">
        <w:rPr>
          <w:sz w:val="28"/>
          <w:szCs w:val="28"/>
          <w:vertAlign w:val="superscript"/>
        </w:rPr>
        <w:t>–</w:t>
      </w:r>
      <w:r w:rsidRPr="008A01D4">
        <w:rPr>
          <w:sz w:val="28"/>
          <w:szCs w:val="28"/>
        </w:rPr>
        <w:t xml:space="preserve"> , N0</w:t>
      </w:r>
      <w:r w:rsidRPr="008A01D4">
        <w:rPr>
          <w:sz w:val="28"/>
          <w:szCs w:val="28"/>
          <w:vertAlign w:val="subscript"/>
        </w:rPr>
        <w:t>3</w:t>
      </w:r>
      <w:r w:rsidRPr="008A01D4">
        <w:rPr>
          <w:sz w:val="28"/>
          <w:szCs w:val="28"/>
          <w:vertAlign w:val="superscript"/>
        </w:rPr>
        <w:t>–</w:t>
      </w:r>
      <w:r w:rsidRPr="008A01D4">
        <w:rPr>
          <w:sz w:val="28"/>
          <w:szCs w:val="28"/>
        </w:rPr>
        <w:t xml:space="preserve">), важких металів, фтору, миш'яку, хлору, ряду мікроелементів. Важливе значення в агроекологічному моніторингу надають визначенню сумарної шкідливості (або нешкідливості) рослинницької продукції. </w:t>
      </w:r>
    </w:p>
    <w:p w14:paraId="0F817463" w14:textId="77777777" w:rsidR="00D4501A" w:rsidRPr="008A01D4" w:rsidRDefault="00D4501A" w:rsidP="00D4501A">
      <w:pPr>
        <w:ind w:firstLine="709"/>
        <w:rPr>
          <w:sz w:val="28"/>
          <w:szCs w:val="28"/>
        </w:rPr>
      </w:pPr>
    </w:p>
    <w:p w14:paraId="745AA2DF" w14:textId="77777777" w:rsidR="00D4501A" w:rsidRPr="008A01D4" w:rsidRDefault="00D4501A" w:rsidP="00D4501A">
      <w:pPr>
        <w:ind w:firstLine="709"/>
        <w:jc w:val="center"/>
        <w:rPr>
          <w:b/>
          <w:sz w:val="28"/>
          <w:szCs w:val="28"/>
        </w:rPr>
      </w:pPr>
      <w:r w:rsidRPr="008A01D4">
        <w:rPr>
          <w:b/>
          <w:sz w:val="28"/>
          <w:szCs w:val="28"/>
        </w:rPr>
        <w:lastRenderedPageBreak/>
        <w:t>2.Моніторинг біологічної активності ґрунтів сільськогосподарського призначення</w:t>
      </w:r>
    </w:p>
    <w:p w14:paraId="54274BF5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Біологічні властивості ґрунтів значною мірою залежать від біорізноманіття ґрунтових мікроорганізмів та специфіки функціонування різних еколого-трофічних груп мікробного ценозу </w:t>
      </w:r>
      <w:proofErr w:type="spellStart"/>
      <w:r w:rsidRPr="008A01D4">
        <w:rPr>
          <w:sz w:val="28"/>
          <w:szCs w:val="28"/>
        </w:rPr>
        <w:t>педосфери</w:t>
      </w:r>
      <w:proofErr w:type="spellEnd"/>
      <w:r w:rsidRPr="008A01D4">
        <w:rPr>
          <w:sz w:val="28"/>
          <w:szCs w:val="28"/>
        </w:rPr>
        <w:t xml:space="preserve">. Діяльність ґрунтових мікроорганізмів визначає родючість ґрунтів, їх екологічний та фітосанітарний стан, але, окрім того, ґрунтові мікроорганізми високочутливі індикатори, які миттєво реагують на наявність в екосистемах </w:t>
      </w:r>
      <w:proofErr w:type="spellStart"/>
      <w:r w:rsidRPr="008A01D4">
        <w:rPr>
          <w:sz w:val="28"/>
          <w:szCs w:val="28"/>
        </w:rPr>
        <w:t>контамінантів</w:t>
      </w:r>
      <w:proofErr w:type="spellEnd"/>
      <w:r w:rsidRPr="008A01D4">
        <w:rPr>
          <w:sz w:val="28"/>
          <w:szCs w:val="28"/>
        </w:rPr>
        <w:t xml:space="preserve">, що віддзеркалюється на показниках біологічної активності ґрунту, зокрема ферментативній активності та інтенсивності виділення вуглекислого газу з поверхні ґрунту.  функціонуванні ґрунтових екосистем ферменти, що накопичуються у ґрунті в процесі життєдіяльності живих організмів відіграють виключно важливу роль. Завдяки </w:t>
      </w:r>
      <w:proofErr w:type="spellStart"/>
      <w:r w:rsidRPr="008A01D4">
        <w:rPr>
          <w:sz w:val="28"/>
          <w:szCs w:val="28"/>
        </w:rPr>
        <w:t>біокаталітичним</w:t>
      </w:r>
      <w:proofErr w:type="spellEnd"/>
      <w:r w:rsidRPr="008A01D4">
        <w:rPr>
          <w:sz w:val="28"/>
          <w:szCs w:val="28"/>
        </w:rPr>
        <w:t xml:space="preserve"> процесам за участю різних ферментів, ґрунти здійснюють свої найважливіші </w:t>
      </w:r>
      <w:proofErr w:type="spellStart"/>
      <w:r w:rsidRPr="008A01D4">
        <w:rPr>
          <w:sz w:val="28"/>
          <w:szCs w:val="28"/>
        </w:rPr>
        <w:t>біогеоценологічні</w:t>
      </w:r>
      <w:proofErr w:type="spellEnd"/>
      <w:r w:rsidRPr="008A01D4">
        <w:rPr>
          <w:sz w:val="28"/>
          <w:szCs w:val="28"/>
        </w:rPr>
        <w:t xml:space="preserve"> функції, такі як </w:t>
      </w:r>
      <w:proofErr w:type="spellStart"/>
      <w:r w:rsidRPr="008A01D4">
        <w:rPr>
          <w:sz w:val="28"/>
          <w:szCs w:val="28"/>
        </w:rPr>
        <w:t>гумусовоенергетичні</w:t>
      </w:r>
      <w:proofErr w:type="spellEnd"/>
      <w:r w:rsidRPr="008A01D4">
        <w:rPr>
          <w:sz w:val="28"/>
          <w:szCs w:val="28"/>
        </w:rPr>
        <w:t>, трофічні, санітарно-відновлювальні тощо.</w:t>
      </w:r>
    </w:p>
    <w:p w14:paraId="0299D518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Відомо, що кількісний та якісний склад ґрунтової </w:t>
      </w:r>
      <w:proofErr w:type="spellStart"/>
      <w:r w:rsidRPr="008A01D4">
        <w:rPr>
          <w:sz w:val="28"/>
          <w:szCs w:val="28"/>
        </w:rPr>
        <w:t>мікробіоти</w:t>
      </w:r>
      <w:proofErr w:type="spellEnd"/>
      <w:r w:rsidRPr="008A01D4">
        <w:rPr>
          <w:sz w:val="28"/>
          <w:szCs w:val="28"/>
        </w:rPr>
        <w:t xml:space="preserve"> адекватно віддзеркалює ступінь антропогенного навантаження, тому використовується як діагностичний показник при оцінці екологічного стану ґрунту трансформованих біогеоценозів. </w:t>
      </w:r>
    </w:p>
    <w:p w14:paraId="62909A16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Активне використання інтенсивних </w:t>
      </w:r>
      <w:proofErr w:type="spellStart"/>
      <w:r w:rsidRPr="008A01D4">
        <w:rPr>
          <w:sz w:val="28"/>
          <w:szCs w:val="28"/>
        </w:rPr>
        <w:t>агротехнологій</w:t>
      </w:r>
      <w:proofErr w:type="spellEnd"/>
      <w:r w:rsidRPr="008A01D4">
        <w:rPr>
          <w:sz w:val="28"/>
          <w:szCs w:val="28"/>
        </w:rPr>
        <w:t xml:space="preserve"> з метою одержання високих врожаїв час то призводить до надмірного забруднення ґрунту </w:t>
      </w:r>
      <w:proofErr w:type="spellStart"/>
      <w:r w:rsidRPr="008A01D4">
        <w:rPr>
          <w:sz w:val="28"/>
          <w:szCs w:val="28"/>
        </w:rPr>
        <w:t>агроекосистем</w:t>
      </w:r>
      <w:proofErr w:type="spellEnd"/>
      <w:r w:rsidRPr="008A01D4">
        <w:rPr>
          <w:sz w:val="28"/>
          <w:szCs w:val="28"/>
        </w:rPr>
        <w:t xml:space="preserve"> </w:t>
      </w:r>
      <w:proofErr w:type="spellStart"/>
      <w:r w:rsidRPr="008A01D4">
        <w:rPr>
          <w:sz w:val="28"/>
          <w:szCs w:val="28"/>
        </w:rPr>
        <w:t>ксенобіотиками</w:t>
      </w:r>
      <w:proofErr w:type="spellEnd"/>
      <w:r w:rsidRPr="008A01D4">
        <w:rPr>
          <w:sz w:val="28"/>
          <w:szCs w:val="28"/>
        </w:rPr>
        <w:t xml:space="preserve">. Відповідно до концепції сталого розвитку </w:t>
      </w:r>
      <w:proofErr w:type="spellStart"/>
      <w:r w:rsidRPr="008A01D4">
        <w:rPr>
          <w:sz w:val="28"/>
          <w:szCs w:val="28"/>
        </w:rPr>
        <w:t>агроекосистем</w:t>
      </w:r>
      <w:proofErr w:type="spellEnd"/>
      <w:r w:rsidRPr="008A01D4">
        <w:rPr>
          <w:sz w:val="28"/>
          <w:szCs w:val="28"/>
        </w:rPr>
        <w:t xml:space="preserve"> в Україні на період до 2025 року, яка спрямована на забезпечення ідей і принципів, декларованих конференцією ООН з навколишнього середовища і розвитку (Ріо-де-Жанейро 1992 р.) та Всесвітнім самітом із збалансованого розвитку (Йоханнесбург 2002 р.), передбачено організацію науково-методичного забезпечення комплексного агроекологічного моніторингу агроландшафтів України, до біотичної складової якого входить мікробіологічний моніторинг. </w:t>
      </w:r>
    </w:p>
    <w:p w14:paraId="607429D1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i/>
          <w:sz w:val="28"/>
          <w:szCs w:val="28"/>
        </w:rPr>
        <w:t>Мікробіологічний моніторинг</w:t>
      </w:r>
      <w:r w:rsidRPr="008A01D4">
        <w:rPr>
          <w:sz w:val="28"/>
          <w:szCs w:val="28"/>
        </w:rPr>
        <w:t xml:space="preserve"> – регулярна система спостережень та діагностики за станом ґрунту екосистем з використанням показників, які характеризують функціональний стан фунтової </w:t>
      </w:r>
      <w:proofErr w:type="spellStart"/>
      <w:r w:rsidRPr="008A01D4">
        <w:rPr>
          <w:sz w:val="28"/>
          <w:szCs w:val="28"/>
        </w:rPr>
        <w:t>мікробіоти</w:t>
      </w:r>
      <w:proofErr w:type="spellEnd"/>
      <w:r w:rsidRPr="008A01D4">
        <w:rPr>
          <w:sz w:val="28"/>
          <w:szCs w:val="28"/>
        </w:rPr>
        <w:t>.</w:t>
      </w:r>
    </w:p>
    <w:p w14:paraId="63751004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До основних завдань мікробіологічного моніторингу входить визначення біомаси ґрунтових мікроорганізмів, дослідження особливостей функціонування різних еколого-трофічних груп ґрунтових мікроорганізмів при антропогенному навантаженні, визначення спрямованості мікробіологічних процесів у ґрунті за умов антропоген ного впливу, встановлення рівня біологічної та фітотоксичної активності ґрунту різ них екосистем. Крім того, важливим аспектом є визначення інтенсивності ферментативних реакцій, встановлення таксономічного складу ґрунтового </w:t>
      </w:r>
      <w:proofErr w:type="spellStart"/>
      <w:r w:rsidRPr="008A01D4">
        <w:rPr>
          <w:sz w:val="28"/>
          <w:szCs w:val="28"/>
        </w:rPr>
        <w:t>мікробоценозу</w:t>
      </w:r>
      <w:proofErr w:type="spellEnd"/>
      <w:r w:rsidRPr="008A01D4">
        <w:rPr>
          <w:sz w:val="28"/>
          <w:szCs w:val="28"/>
        </w:rPr>
        <w:t>, формулювання рекомендацій щодо покращення екологічного стану ґрунтів різних екосистем.</w:t>
      </w:r>
    </w:p>
    <w:p w14:paraId="1CF4422C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>Для здійснення фонового мікробіологічного моніторингу ґрунту використовуються екосистеми, які не зазнати прямого антропогенного впливу.</w:t>
      </w:r>
    </w:p>
    <w:p w14:paraId="619B47DB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</w:p>
    <w:p w14:paraId="1D208D67" w14:textId="77777777" w:rsidR="00D4501A" w:rsidRPr="008A01D4" w:rsidRDefault="00D4501A" w:rsidP="00D4501A">
      <w:pPr>
        <w:ind w:firstLine="709"/>
        <w:jc w:val="center"/>
        <w:rPr>
          <w:sz w:val="28"/>
          <w:szCs w:val="28"/>
        </w:rPr>
      </w:pPr>
      <w:r w:rsidRPr="008A01D4">
        <w:rPr>
          <w:sz w:val="28"/>
          <w:szCs w:val="28"/>
        </w:rPr>
        <w:t>Таблиця 5.1 – Перелік показників що рекомендуються для визначення при проведенні мікробіологічного моніторингу ґрунтів різних екосистем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D4501A" w:rsidRPr="008A01D4" w14:paraId="16E569D8" w14:textId="77777777" w:rsidTr="00032637">
        <w:tc>
          <w:tcPr>
            <w:tcW w:w="4839" w:type="dxa"/>
          </w:tcPr>
          <w:p w14:paraId="04DD7107" w14:textId="77777777" w:rsidR="00D4501A" w:rsidRPr="008A01D4" w:rsidRDefault="00D4501A" w:rsidP="00032637">
            <w:pPr>
              <w:jc w:val="center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Процес, що контролюється</w:t>
            </w:r>
          </w:p>
        </w:tc>
        <w:tc>
          <w:tcPr>
            <w:tcW w:w="4840" w:type="dxa"/>
          </w:tcPr>
          <w:p w14:paraId="3E45CD65" w14:textId="77777777" w:rsidR="00D4501A" w:rsidRPr="008A01D4" w:rsidRDefault="00D4501A" w:rsidP="00032637">
            <w:pPr>
              <w:jc w:val="center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Показник</w:t>
            </w:r>
          </w:p>
        </w:tc>
      </w:tr>
      <w:tr w:rsidR="00D4501A" w:rsidRPr="008A01D4" w14:paraId="4911E7B3" w14:textId="77777777" w:rsidTr="00032637">
        <w:tc>
          <w:tcPr>
            <w:tcW w:w="4839" w:type="dxa"/>
            <w:vAlign w:val="center"/>
          </w:tcPr>
          <w:p w14:paraId="7A1A4840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Зміна чисельності основних груп ґрунтових мікроорганізмів.</w:t>
            </w:r>
          </w:p>
        </w:tc>
        <w:tc>
          <w:tcPr>
            <w:tcW w:w="4840" w:type="dxa"/>
            <w:vAlign w:val="center"/>
          </w:tcPr>
          <w:p w14:paraId="5D52B5B6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 xml:space="preserve">Кількість КУО на 1г. </w:t>
            </w:r>
            <w:proofErr w:type="spellStart"/>
            <w:r w:rsidRPr="008A01D4">
              <w:rPr>
                <w:sz w:val="28"/>
                <w:szCs w:val="28"/>
              </w:rPr>
              <w:t>аб</w:t>
            </w:r>
            <w:proofErr w:type="spellEnd"/>
            <w:r w:rsidRPr="008A01D4">
              <w:rPr>
                <w:sz w:val="28"/>
                <w:szCs w:val="28"/>
              </w:rPr>
              <w:t xml:space="preserve">. </w:t>
            </w:r>
            <w:proofErr w:type="spellStart"/>
            <w:r w:rsidRPr="008A01D4">
              <w:rPr>
                <w:sz w:val="28"/>
                <w:szCs w:val="28"/>
              </w:rPr>
              <w:t>сух</w:t>
            </w:r>
            <w:proofErr w:type="spellEnd"/>
            <w:r w:rsidRPr="008A01D4">
              <w:rPr>
                <w:sz w:val="28"/>
                <w:szCs w:val="28"/>
              </w:rPr>
              <w:t>. ґрунту.</w:t>
            </w:r>
          </w:p>
        </w:tc>
      </w:tr>
      <w:tr w:rsidR="00D4501A" w:rsidRPr="008A01D4" w14:paraId="4A093AA2" w14:textId="77777777" w:rsidTr="00032637">
        <w:tc>
          <w:tcPr>
            <w:tcW w:w="4839" w:type="dxa"/>
            <w:vAlign w:val="center"/>
          </w:tcPr>
          <w:p w14:paraId="4EF29D09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Зміна біомаси ґрунтових мікроорганізмів</w:t>
            </w:r>
          </w:p>
        </w:tc>
        <w:tc>
          <w:tcPr>
            <w:tcW w:w="4840" w:type="dxa"/>
            <w:vAlign w:val="center"/>
          </w:tcPr>
          <w:p w14:paraId="4C7F4865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 xml:space="preserve">Вміст вуглецю мікробної біомаси </w:t>
            </w:r>
            <w:proofErr w:type="spellStart"/>
            <w:r w:rsidRPr="008A01D4">
              <w:rPr>
                <w:sz w:val="28"/>
                <w:szCs w:val="28"/>
              </w:rPr>
              <w:t>мкг</w:t>
            </w:r>
            <w:proofErr w:type="spellEnd"/>
            <w:r w:rsidRPr="008A01D4">
              <w:rPr>
                <w:sz w:val="28"/>
                <w:szCs w:val="28"/>
              </w:rPr>
              <w:t>/г ґрунту</w:t>
            </w:r>
          </w:p>
        </w:tc>
      </w:tr>
      <w:tr w:rsidR="00D4501A" w:rsidRPr="008A01D4" w14:paraId="35ED9E13" w14:textId="77777777" w:rsidTr="00032637">
        <w:tc>
          <w:tcPr>
            <w:tcW w:w="4839" w:type="dxa"/>
            <w:vAlign w:val="center"/>
          </w:tcPr>
          <w:p w14:paraId="5F1B40ED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Накопичення фітотоксичних метаболітів ґрунтових мікроорганізмів</w:t>
            </w:r>
          </w:p>
        </w:tc>
        <w:tc>
          <w:tcPr>
            <w:tcW w:w="4840" w:type="dxa"/>
            <w:vAlign w:val="center"/>
          </w:tcPr>
          <w:p w14:paraId="3396A967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 xml:space="preserve">% </w:t>
            </w:r>
            <w:proofErr w:type="spellStart"/>
            <w:r w:rsidRPr="008A01D4">
              <w:rPr>
                <w:sz w:val="28"/>
                <w:szCs w:val="28"/>
              </w:rPr>
              <w:t>інгібування</w:t>
            </w:r>
            <w:proofErr w:type="spellEnd"/>
            <w:r w:rsidRPr="008A01D4">
              <w:rPr>
                <w:sz w:val="28"/>
                <w:szCs w:val="28"/>
              </w:rPr>
              <w:t xml:space="preserve"> ростових процесів рослин.</w:t>
            </w:r>
          </w:p>
        </w:tc>
      </w:tr>
      <w:tr w:rsidR="00D4501A" w:rsidRPr="008A01D4" w14:paraId="6138B634" w14:textId="77777777" w:rsidTr="00032637">
        <w:tc>
          <w:tcPr>
            <w:tcW w:w="4839" w:type="dxa"/>
            <w:vAlign w:val="center"/>
          </w:tcPr>
          <w:p w14:paraId="77D60794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Зміна стійкості екосистем</w:t>
            </w:r>
          </w:p>
        </w:tc>
        <w:tc>
          <w:tcPr>
            <w:tcW w:w="4840" w:type="dxa"/>
            <w:vAlign w:val="center"/>
          </w:tcPr>
          <w:p w14:paraId="68EDC04F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 xml:space="preserve">Оцінка різноманітності ґрунтового угруповання за допомогою індексів Сімпсона і </w:t>
            </w:r>
            <w:proofErr w:type="spellStart"/>
            <w:r w:rsidRPr="008A01D4">
              <w:rPr>
                <w:sz w:val="28"/>
                <w:szCs w:val="28"/>
              </w:rPr>
              <w:t>Шенона</w:t>
            </w:r>
            <w:proofErr w:type="spellEnd"/>
            <w:r w:rsidRPr="008A01D4">
              <w:rPr>
                <w:sz w:val="28"/>
                <w:szCs w:val="28"/>
              </w:rPr>
              <w:t xml:space="preserve"> </w:t>
            </w:r>
          </w:p>
          <w:p w14:paraId="03F7872C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D = 1/⅀Рі</w:t>
            </w:r>
            <w:r w:rsidRPr="008A01D4">
              <w:rPr>
                <w:sz w:val="28"/>
                <w:szCs w:val="28"/>
                <w:vertAlign w:val="superscript"/>
              </w:rPr>
              <w:t>2</w:t>
            </w:r>
            <w:r w:rsidRPr="008A01D4">
              <w:rPr>
                <w:sz w:val="28"/>
                <w:szCs w:val="28"/>
              </w:rPr>
              <w:t xml:space="preserve"> </w:t>
            </w:r>
          </w:p>
          <w:p w14:paraId="4A0948BF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Н=⅀</w:t>
            </w:r>
            <w:proofErr w:type="spellStart"/>
            <w:r w:rsidRPr="008A01D4">
              <w:rPr>
                <w:sz w:val="28"/>
                <w:szCs w:val="28"/>
              </w:rPr>
              <w:t>Рі×lnРі</w:t>
            </w:r>
            <w:proofErr w:type="spellEnd"/>
          </w:p>
        </w:tc>
      </w:tr>
      <w:tr w:rsidR="00D4501A" w:rsidRPr="008A01D4" w14:paraId="30836A82" w14:textId="77777777" w:rsidTr="00032637">
        <w:tc>
          <w:tcPr>
            <w:tcW w:w="4839" w:type="dxa"/>
            <w:vAlign w:val="center"/>
          </w:tcPr>
          <w:p w14:paraId="57B2DB88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Дихання ґрунту</w:t>
            </w:r>
          </w:p>
        </w:tc>
        <w:tc>
          <w:tcPr>
            <w:tcW w:w="4840" w:type="dxa"/>
            <w:vAlign w:val="center"/>
          </w:tcPr>
          <w:p w14:paraId="039CC6CD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Інтенсивність виділення СО</w:t>
            </w:r>
            <w:r w:rsidRPr="008A01D4">
              <w:rPr>
                <w:sz w:val="28"/>
                <w:szCs w:val="28"/>
                <w:vertAlign w:val="subscript"/>
              </w:rPr>
              <w:t>2</w:t>
            </w:r>
            <w:r w:rsidRPr="008A01D4">
              <w:rPr>
                <w:sz w:val="28"/>
                <w:szCs w:val="28"/>
              </w:rPr>
              <w:t xml:space="preserve"> мг/кг ґрунту за добу</w:t>
            </w:r>
          </w:p>
        </w:tc>
      </w:tr>
      <w:tr w:rsidR="00D4501A" w:rsidRPr="008A01D4" w14:paraId="472E1228" w14:textId="77777777" w:rsidTr="00032637">
        <w:tc>
          <w:tcPr>
            <w:tcW w:w="4839" w:type="dxa"/>
            <w:vAlign w:val="center"/>
          </w:tcPr>
          <w:p w14:paraId="3C99D45E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proofErr w:type="spellStart"/>
            <w:r w:rsidRPr="008A01D4">
              <w:rPr>
                <w:sz w:val="28"/>
                <w:szCs w:val="28"/>
              </w:rPr>
              <w:t>Азотфіксуюча</w:t>
            </w:r>
            <w:proofErr w:type="spellEnd"/>
            <w:r w:rsidRPr="008A01D4">
              <w:rPr>
                <w:sz w:val="28"/>
                <w:szCs w:val="28"/>
              </w:rPr>
              <w:t xml:space="preserve"> активність ґрунту</w:t>
            </w:r>
          </w:p>
        </w:tc>
        <w:tc>
          <w:tcPr>
            <w:tcW w:w="4840" w:type="dxa"/>
            <w:vAlign w:val="center"/>
          </w:tcPr>
          <w:p w14:paraId="7474FD80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Інтенсивність виділення етилену С</w:t>
            </w:r>
            <w:r w:rsidRPr="008A01D4">
              <w:rPr>
                <w:sz w:val="28"/>
                <w:szCs w:val="28"/>
                <w:vertAlign w:val="subscript"/>
              </w:rPr>
              <w:t>2</w:t>
            </w:r>
            <w:r w:rsidRPr="008A01D4">
              <w:rPr>
                <w:sz w:val="28"/>
                <w:szCs w:val="28"/>
              </w:rPr>
              <w:t>Н</w:t>
            </w:r>
            <w:r w:rsidRPr="008A01D4">
              <w:rPr>
                <w:sz w:val="28"/>
                <w:szCs w:val="28"/>
                <w:vertAlign w:val="subscript"/>
              </w:rPr>
              <w:t>4</w:t>
            </w:r>
            <w:r w:rsidRPr="008A01D4">
              <w:rPr>
                <w:sz w:val="28"/>
                <w:szCs w:val="28"/>
              </w:rPr>
              <w:t xml:space="preserve"> </w:t>
            </w:r>
            <w:proofErr w:type="spellStart"/>
            <w:r w:rsidRPr="008A01D4">
              <w:rPr>
                <w:sz w:val="28"/>
                <w:szCs w:val="28"/>
              </w:rPr>
              <w:t>мкмоль</w:t>
            </w:r>
            <w:proofErr w:type="spellEnd"/>
            <w:r w:rsidRPr="008A01D4">
              <w:rPr>
                <w:sz w:val="28"/>
                <w:szCs w:val="28"/>
              </w:rPr>
              <w:t>/г ґрунту за 1 добу</w:t>
            </w:r>
          </w:p>
        </w:tc>
      </w:tr>
      <w:tr w:rsidR="00D4501A" w:rsidRPr="008A01D4" w14:paraId="302B8D01" w14:textId="77777777" w:rsidTr="00032637">
        <w:tc>
          <w:tcPr>
            <w:tcW w:w="4839" w:type="dxa"/>
            <w:vAlign w:val="center"/>
          </w:tcPr>
          <w:p w14:paraId="4D7B6FB5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proofErr w:type="spellStart"/>
            <w:r w:rsidRPr="008A01D4">
              <w:rPr>
                <w:sz w:val="28"/>
                <w:szCs w:val="28"/>
              </w:rPr>
              <w:t>Фосфатазна</w:t>
            </w:r>
            <w:proofErr w:type="spellEnd"/>
            <w:r w:rsidRPr="008A01D4">
              <w:rPr>
                <w:sz w:val="28"/>
                <w:szCs w:val="28"/>
              </w:rPr>
              <w:t xml:space="preserve"> активність ґрунту</w:t>
            </w:r>
          </w:p>
        </w:tc>
        <w:tc>
          <w:tcPr>
            <w:tcW w:w="4840" w:type="dxa"/>
            <w:vAlign w:val="center"/>
          </w:tcPr>
          <w:p w14:paraId="1379512B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мг Р</w:t>
            </w:r>
            <w:r w:rsidRPr="008A01D4">
              <w:rPr>
                <w:sz w:val="28"/>
                <w:szCs w:val="28"/>
                <w:vertAlign w:val="subscript"/>
              </w:rPr>
              <w:t>2</w:t>
            </w:r>
            <w:r w:rsidRPr="008A01D4">
              <w:rPr>
                <w:sz w:val="28"/>
                <w:szCs w:val="28"/>
              </w:rPr>
              <w:t>O</w:t>
            </w:r>
            <w:r w:rsidRPr="008A01D4">
              <w:rPr>
                <w:sz w:val="28"/>
                <w:szCs w:val="28"/>
                <w:vertAlign w:val="subscript"/>
              </w:rPr>
              <w:t>5</w:t>
            </w:r>
            <w:r w:rsidRPr="008A01D4">
              <w:rPr>
                <w:sz w:val="28"/>
                <w:szCs w:val="28"/>
              </w:rPr>
              <w:t>/ 100г ґрунту за 30 хв</w:t>
            </w:r>
          </w:p>
        </w:tc>
      </w:tr>
      <w:tr w:rsidR="00D4501A" w:rsidRPr="008A01D4" w14:paraId="0780504E" w14:textId="77777777" w:rsidTr="00032637">
        <w:tc>
          <w:tcPr>
            <w:tcW w:w="4839" w:type="dxa"/>
            <w:vAlign w:val="center"/>
          </w:tcPr>
          <w:p w14:paraId="11CD238D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proofErr w:type="spellStart"/>
            <w:r w:rsidRPr="008A01D4">
              <w:rPr>
                <w:sz w:val="28"/>
                <w:szCs w:val="28"/>
              </w:rPr>
              <w:t>Каталазна</w:t>
            </w:r>
            <w:proofErr w:type="spellEnd"/>
            <w:r w:rsidRPr="008A01D4">
              <w:rPr>
                <w:sz w:val="28"/>
                <w:szCs w:val="28"/>
              </w:rPr>
              <w:t xml:space="preserve"> активність ґрунту</w:t>
            </w:r>
          </w:p>
        </w:tc>
        <w:tc>
          <w:tcPr>
            <w:tcW w:w="4840" w:type="dxa"/>
            <w:vAlign w:val="center"/>
          </w:tcPr>
          <w:p w14:paraId="05D996F1" w14:textId="77777777" w:rsidR="00D4501A" w:rsidRPr="008A01D4" w:rsidRDefault="00D4501A" w:rsidP="00032637">
            <w:pPr>
              <w:jc w:val="both"/>
              <w:rPr>
                <w:sz w:val="28"/>
                <w:szCs w:val="28"/>
              </w:rPr>
            </w:pPr>
            <w:r w:rsidRPr="008A01D4">
              <w:rPr>
                <w:sz w:val="28"/>
                <w:szCs w:val="28"/>
              </w:rPr>
              <w:t>см3 О</w:t>
            </w:r>
            <w:r w:rsidRPr="008A01D4">
              <w:rPr>
                <w:sz w:val="28"/>
                <w:szCs w:val="28"/>
                <w:vertAlign w:val="subscript"/>
              </w:rPr>
              <w:t>2</w:t>
            </w:r>
            <w:r w:rsidRPr="008A01D4">
              <w:rPr>
                <w:sz w:val="28"/>
                <w:szCs w:val="28"/>
              </w:rPr>
              <w:t>/</w:t>
            </w:r>
            <w:proofErr w:type="spellStart"/>
            <w:r w:rsidRPr="008A01D4">
              <w:rPr>
                <w:sz w:val="28"/>
                <w:szCs w:val="28"/>
              </w:rPr>
              <w:t>гр</w:t>
            </w:r>
            <w:proofErr w:type="spellEnd"/>
            <w:r w:rsidRPr="008A01D4">
              <w:rPr>
                <w:sz w:val="28"/>
                <w:szCs w:val="28"/>
              </w:rPr>
              <w:t xml:space="preserve"> ґрунту</w:t>
            </w:r>
          </w:p>
        </w:tc>
      </w:tr>
    </w:tbl>
    <w:p w14:paraId="60956F04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</w:p>
    <w:p w14:paraId="5FD0CC82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Прорив у дослідженнях фізіологічного розмаїття ґрунтових мікроорганізмів пов'язують із методами, що ґрунтуються на оцінці спектра споживання мікроорганізмами </w:t>
      </w:r>
      <w:proofErr w:type="spellStart"/>
      <w:r w:rsidRPr="008A01D4">
        <w:rPr>
          <w:sz w:val="28"/>
          <w:szCs w:val="28"/>
        </w:rPr>
        <w:t>вуглецевовмісних</w:t>
      </w:r>
      <w:proofErr w:type="spellEnd"/>
      <w:r w:rsidRPr="008A01D4">
        <w:rPr>
          <w:sz w:val="28"/>
          <w:szCs w:val="28"/>
        </w:rPr>
        <w:t xml:space="preserve"> субстратів (</w:t>
      </w:r>
      <w:proofErr w:type="spellStart"/>
      <w:r w:rsidRPr="008A01D4">
        <w:rPr>
          <w:sz w:val="28"/>
          <w:szCs w:val="28"/>
        </w:rPr>
        <w:t>мультисубстратне</w:t>
      </w:r>
      <w:proofErr w:type="spellEnd"/>
      <w:r w:rsidRPr="008A01D4">
        <w:rPr>
          <w:sz w:val="28"/>
          <w:szCs w:val="28"/>
        </w:rPr>
        <w:t xml:space="preserve"> тестування). Вони дають можливість оцінити фізіологічний потенціал ґрунтових мікроорганізмів, в тому числі і за впливу біопрепаратів.</w:t>
      </w:r>
    </w:p>
    <w:p w14:paraId="6842922F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Показники таксономічного чи функціонального розмаїття мікроорганізмів, отримані методом фізіологічного профілювання спільнот </w:t>
      </w:r>
      <w:proofErr w:type="spellStart"/>
      <w:r w:rsidRPr="008A01D4">
        <w:rPr>
          <w:sz w:val="28"/>
          <w:szCs w:val="28"/>
        </w:rPr>
        <w:t>мікробіому</w:t>
      </w:r>
      <w:proofErr w:type="spellEnd"/>
      <w:r w:rsidRPr="008A01D4">
        <w:rPr>
          <w:sz w:val="28"/>
          <w:szCs w:val="28"/>
        </w:rPr>
        <w:t xml:space="preserve"> (</w:t>
      </w:r>
      <w:proofErr w:type="spellStart"/>
      <w:r w:rsidRPr="008A01D4">
        <w:rPr>
          <w:sz w:val="28"/>
          <w:szCs w:val="28"/>
        </w:rPr>
        <w:t>Community-level</w:t>
      </w:r>
      <w:proofErr w:type="spellEnd"/>
      <w:r w:rsidRPr="008A01D4">
        <w:rPr>
          <w:sz w:val="28"/>
          <w:szCs w:val="28"/>
        </w:rPr>
        <w:t xml:space="preserve"> </w:t>
      </w:r>
      <w:proofErr w:type="spellStart"/>
      <w:r w:rsidRPr="008A01D4">
        <w:rPr>
          <w:sz w:val="28"/>
          <w:szCs w:val="28"/>
        </w:rPr>
        <w:t>physiological</w:t>
      </w:r>
      <w:proofErr w:type="spellEnd"/>
      <w:r w:rsidRPr="008A01D4">
        <w:rPr>
          <w:sz w:val="28"/>
          <w:szCs w:val="28"/>
        </w:rPr>
        <w:t xml:space="preserve"> </w:t>
      </w:r>
      <w:proofErr w:type="spellStart"/>
      <w:r w:rsidRPr="008A01D4">
        <w:rPr>
          <w:sz w:val="28"/>
          <w:szCs w:val="28"/>
        </w:rPr>
        <w:t>profiling</w:t>
      </w:r>
      <w:proofErr w:type="spellEnd"/>
      <w:r w:rsidRPr="008A01D4">
        <w:rPr>
          <w:sz w:val="28"/>
          <w:szCs w:val="28"/>
        </w:rPr>
        <w:t>, CLPP), можуть бути використані як зручні та досить інформативні індикатори відповідних змін.</w:t>
      </w:r>
    </w:p>
    <w:p w14:paraId="5CEEF1AF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У 1991 році для оцінки функціонального різноманіття вчені </w:t>
      </w:r>
      <w:proofErr w:type="spellStart"/>
      <w:r w:rsidRPr="008A01D4">
        <w:rPr>
          <w:sz w:val="28"/>
          <w:szCs w:val="28"/>
        </w:rPr>
        <w:t>Гарланд</w:t>
      </w:r>
      <w:proofErr w:type="spellEnd"/>
      <w:r w:rsidRPr="008A01D4">
        <w:rPr>
          <w:sz w:val="28"/>
          <w:szCs w:val="28"/>
        </w:rPr>
        <w:t xml:space="preserve"> та </w:t>
      </w:r>
      <w:proofErr w:type="spellStart"/>
      <w:r w:rsidRPr="008A01D4">
        <w:rPr>
          <w:sz w:val="28"/>
          <w:szCs w:val="28"/>
        </w:rPr>
        <w:t>Міллс</w:t>
      </w:r>
      <w:proofErr w:type="spellEnd"/>
      <w:r w:rsidRPr="008A01D4">
        <w:rPr>
          <w:sz w:val="28"/>
          <w:szCs w:val="28"/>
        </w:rPr>
        <w:t xml:space="preserve"> (J.L. </w:t>
      </w:r>
      <w:proofErr w:type="spellStart"/>
      <w:r w:rsidRPr="008A01D4">
        <w:rPr>
          <w:sz w:val="28"/>
          <w:szCs w:val="28"/>
        </w:rPr>
        <w:t>Garland</w:t>
      </w:r>
      <w:proofErr w:type="spellEnd"/>
      <w:r w:rsidRPr="008A01D4">
        <w:rPr>
          <w:sz w:val="28"/>
          <w:szCs w:val="28"/>
        </w:rPr>
        <w:t xml:space="preserve">, A.L. </w:t>
      </w:r>
      <w:proofErr w:type="spellStart"/>
      <w:r w:rsidRPr="008A01D4">
        <w:rPr>
          <w:sz w:val="28"/>
          <w:szCs w:val="28"/>
        </w:rPr>
        <w:t>Mills</w:t>
      </w:r>
      <w:proofErr w:type="spellEnd"/>
      <w:r w:rsidRPr="008A01D4">
        <w:rPr>
          <w:sz w:val="28"/>
          <w:szCs w:val="28"/>
        </w:rPr>
        <w:t>) запропонували використовувати систему BIOLOG. Вони також розробили основні підходи до інтерпретації отриманих спектрів споживання вуглецевмісних субстратів методами багатовимірної статистики (форма аналізу, коли охоплюється одночасне спостереження більше ніж однієї змінної).</w:t>
      </w:r>
    </w:p>
    <w:p w14:paraId="55BAB3E5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 xml:space="preserve">Технологія BIOTREX була розроблена в Японії для оцінки біорізноманіття ґрунтів та їх біологічної активності. Вона допомагає вивчати вплив різних продуктів на ефективність вирощування рослин. За останні 10 років інноваційна система з використанням </w:t>
      </w:r>
      <w:proofErr w:type="spellStart"/>
      <w:r w:rsidRPr="008A01D4">
        <w:rPr>
          <w:sz w:val="28"/>
          <w:szCs w:val="28"/>
        </w:rPr>
        <w:t>мікропланшетів</w:t>
      </w:r>
      <w:proofErr w:type="spellEnd"/>
      <w:r w:rsidRPr="008A01D4">
        <w:rPr>
          <w:sz w:val="28"/>
          <w:szCs w:val="28"/>
        </w:rPr>
        <w:t xml:space="preserve"> із 31 джерелом вуглецю та азоту завоювала довіру фермерів по всьому світу.</w:t>
      </w:r>
    </w:p>
    <w:p w14:paraId="7694328D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lastRenderedPageBreak/>
        <w:t xml:space="preserve">Завдяки спеціальним планшетам визначається активність та різноманітність ґрунтових мікроорганізмів (індекс </w:t>
      </w:r>
      <w:proofErr w:type="spellStart"/>
      <w:r w:rsidRPr="008A01D4">
        <w:rPr>
          <w:sz w:val="28"/>
          <w:szCs w:val="28"/>
        </w:rPr>
        <w:t>Biotrex</w:t>
      </w:r>
      <w:proofErr w:type="spellEnd"/>
      <w:r w:rsidRPr="008A01D4">
        <w:rPr>
          <w:sz w:val="28"/>
          <w:szCs w:val="28"/>
        </w:rPr>
        <w:t>), що сигналізує про поточний стан ґрунту та дозволяє його скоригувати за допомогою мікробіологічних засобів. Моніторинг мікробних спільнот та активності ґрунту може бути потужним інструментом для розуміння дії біопрепаратів. </w:t>
      </w:r>
    </w:p>
    <w:p w14:paraId="2E644DAD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</w:p>
    <w:p w14:paraId="5904A277" w14:textId="77777777" w:rsidR="00D4501A" w:rsidRPr="008A01D4" w:rsidRDefault="00D4501A" w:rsidP="00D4501A">
      <w:pPr>
        <w:pStyle w:val="a3"/>
        <w:shd w:val="clear" w:color="auto" w:fill="FFFFFF"/>
        <w:tabs>
          <w:tab w:val="left" w:pos="365"/>
        </w:tabs>
        <w:adjustRightInd w:val="0"/>
        <w:jc w:val="center"/>
        <w:rPr>
          <w:i/>
          <w:sz w:val="28"/>
          <w:szCs w:val="28"/>
        </w:rPr>
      </w:pPr>
      <w:r w:rsidRPr="008A01D4">
        <w:rPr>
          <w:b/>
          <w:sz w:val="28"/>
          <w:szCs w:val="28"/>
        </w:rPr>
        <w:sym w:font="Webdings" w:char="F073"/>
      </w:r>
      <w:r w:rsidRPr="008A01D4">
        <w:rPr>
          <w:b/>
          <w:sz w:val="28"/>
          <w:szCs w:val="28"/>
        </w:rPr>
        <w:t xml:space="preserve"> </w:t>
      </w:r>
      <w:r w:rsidRPr="008A01D4">
        <w:rPr>
          <w:i/>
          <w:sz w:val="28"/>
          <w:szCs w:val="28"/>
        </w:rPr>
        <w:t>Питання для самоконтролю</w:t>
      </w:r>
    </w:p>
    <w:p w14:paraId="21D9870C" w14:textId="77777777" w:rsidR="00D4501A" w:rsidRPr="008A01D4" w:rsidRDefault="00D4501A" w:rsidP="00D4501A">
      <w:pPr>
        <w:ind w:firstLine="709"/>
        <w:rPr>
          <w:sz w:val="28"/>
          <w:szCs w:val="28"/>
        </w:rPr>
      </w:pPr>
      <w:r w:rsidRPr="008A01D4">
        <w:rPr>
          <w:sz w:val="28"/>
          <w:szCs w:val="28"/>
        </w:rPr>
        <w:t>1.Як здійснюється моніторинг рухомого азоту у ґрунті</w:t>
      </w:r>
      <w:r>
        <w:rPr>
          <w:sz w:val="28"/>
          <w:szCs w:val="28"/>
        </w:rPr>
        <w:t>?</w:t>
      </w:r>
    </w:p>
    <w:p w14:paraId="311EACB4" w14:textId="77777777" w:rsidR="00D4501A" w:rsidRPr="008A01D4" w:rsidRDefault="00D4501A" w:rsidP="00D4501A">
      <w:pPr>
        <w:ind w:firstLine="709"/>
        <w:rPr>
          <w:sz w:val="28"/>
          <w:szCs w:val="28"/>
        </w:rPr>
      </w:pPr>
      <w:r w:rsidRPr="008A01D4">
        <w:rPr>
          <w:sz w:val="28"/>
          <w:szCs w:val="28"/>
        </w:rPr>
        <w:t>2.Як визначити потенціал біологічного азоту у ґрунті?</w:t>
      </w:r>
    </w:p>
    <w:p w14:paraId="00D44AF7" w14:textId="77777777" w:rsidR="00D4501A" w:rsidRPr="008A01D4" w:rsidRDefault="00D4501A" w:rsidP="00D4501A">
      <w:pPr>
        <w:ind w:firstLine="709"/>
        <w:rPr>
          <w:sz w:val="28"/>
          <w:szCs w:val="28"/>
        </w:rPr>
      </w:pPr>
      <w:r w:rsidRPr="008A01D4">
        <w:rPr>
          <w:sz w:val="28"/>
          <w:szCs w:val="28"/>
        </w:rPr>
        <w:t>3.Як здійснюється моніторинг рухомого фосфору у ґрунті?</w:t>
      </w:r>
    </w:p>
    <w:p w14:paraId="6B4C837A" w14:textId="77777777" w:rsidR="00D4501A" w:rsidRPr="008A01D4" w:rsidRDefault="00D4501A" w:rsidP="00D4501A">
      <w:pPr>
        <w:ind w:firstLine="709"/>
        <w:rPr>
          <w:sz w:val="28"/>
          <w:szCs w:val="28"/>
        </w:rPr>
      </w:pPr>
      <w:r w:rsidRPr="008A01D4">
        <w:rPr>
          <w:sz w:val="28"/>
          <w:szCs w:val="28"/>
        </w:rPr>
        <w:t>4.Яку роль відіграють мікроорганізми у формуванні агроландшафтів?</w:t>
      </w:r>
    </w:p>
    <w:p w14:paraId="715CBD6E" w14:textId="77777777" w:rsidR="00D4501A" w:rsidRPr="008A01D4" w:rsidRDefault="00D4501A" w:rsidP="00D4501A">
      <w:pPr>
        <w:ind w:firstLine="709"/>
        <w:rPr>
          <w:sz w:val="28"/>
          <w:szCs w:val="28"/>
        </w:rPr>
      </w:pPr>
      <w:r w:rsidRPr="008A01D4">
        <w:rPr>
          <w:sz w:val="28"/>
          <w:szCs w:val="28"/>
        </w:rPr>
        <w:t>5.Які завдання вирішує мікробіологічний моніторинг?</w:t>
      </w:r>
    </w:p>
    <w:p w14:paraId="0DDC0FBD" w14:textId="77777777" w:rsidR="00D4501A" w:rsidRPr="008A01D4" w:rsidRDefault="00D4501A" w:rsidP="00D4501A">
      <w:pPr>
        <w:ind w:firstLine="709"/>
        <w:jc w:val="both"/>
        <w:rPr>
          <w:sz w:val="28"/>
          <w:szCs w:val="28"/>
        </w:rPr>
      </w:pPr>
      <w:r w:rsidRPr="008A01D4">
        <w:rPr>
          <w:sz w:val="28"/>
          <w:szCs w:val="28"/>
        </w:rPr>
        <w:t>6.Які показники визначаються при проведенні мікробіологічного моніторингу ґрунтів агроландшафтів?</w:t>
      </w:r>
    </w:p>
    <w:p w14:paraId="71CD20D6" w14:textId="77777777" w:rsidR="00C62275" w:rsidRDefault="00C62275"/>
    <w:sectPr w:rsidR="00C6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671B"/>
    <w:multiLevelType w:val="hybridMultilevel"/>
    <w:tmpl w:val="9D78A58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FF70D10"/>
    <w:multiLevelType w:val="hybridMultilevel"/>
    <w:tmpl w:val="917E0CB8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1A"/>
    <w:rsid w:val="00C62275"/>
    <w:rsid w:val="00D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A3F9"/>
  <w15:chartTrackingRefBased/>
  <w15:docId w15:val="{B370E2C5-9778-4ED9-9415-0FC9BDA8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501A"/>
    <w:pPr>
      <w:ind w:left="720"/>
      <w:contextualSpacing/>
    </w:pPr>
  </w:style>
  <w:style w:type="table" w:styleId="a4">
    <w:name w:val="Table Grid"/>
    <w:basedOn w:val="a1"/>
    <w:uiPriority w:val="39"/>
    <w:rsid w:val="00D4501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2939</Words>
  <Characters>16754</Characters>
  <Application>Microsoft Office Word</Application>
  <DocSecurity>0</DocSecurity>
  <Lines>139</Lines>
  <Paragraphs>39</Paragraphs>
  <ScaleCrop>false</ScaleCrop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2023-10-20T09:19:00Z</dcterms:created>
  <dcterms:modified xsi:type="dcterms:W3CDTF">2023-10-20T09:20:00Z</dcterms:modified>
</cp:coreProperties>
</file>