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6E" w:rsidRPr="00870CE6" w:rsidRDefault="0087616E" w:rsidP="0087616E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Times New Roman" w:cs="Times New Roman"/>
          <w:b/>
          <w:sz w:val="27"/>
          <w:szCs w:val="23"/>
          <w:lang w:val="uk-UA" w:eastAsia="uk-UA" w:bidi="uk-UA"/>
        </w:rPr>
      </w:pP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ТЕМА  5 АНАЛІЗ АКТИВІВ БАНКУ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Активні операції банків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це фінансові операції з розміщення коштів із метою отримання доходів. До них належать надання кредитів та позичок, купівля цінних паперів, вкладення коштів у комерційні проекти, лізингові, факторингові операції, операції з векселями тощо.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Актив —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це той чи інший об’єкт, який контролюється банком та відповідає принаймні одній із названих нижче вимог: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дає</w:t>
      </w:r>
      <w:r w:rsidRPr="0087616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дохід;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tabs>
          <w:tab w:val="left" w:pos="58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може бути обміняний на інший об’єкт, який дає</w:t>
      </w:r>
      <w:r w:rsidRPr="0087616E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дохід.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Усі активні операції банку є ризиковими, проте вони забезпечують йому значну частину доходів.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Мета дослідження активних операцій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полягає у тому, щоб визначити шляхом аналізу по вертикалі динамічні зміни у структурі активів. На основі оцінки по горизонталі аналізують зміни у динаміці, зіставляючи дані за різні періоди.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Завдання аналізу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активів банківського сектору та окремого банку: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визначення кількарічної тенденції щодо збільшення чи зменшення активів, зокрема дохідних, недохідних, робочих,</w:t>
      </w:r>
      <w:r w:rsidRPr="0087616E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високоліквідних, іммобілізованих (вкладених в основні фонди тощо);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аналіз якості активів, зокрема кредитного</w:t>
      </w:r>
      <w:r w:rsidRPr="0087616E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портфеля;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виведення узагальнюючої оцінки стосовно оптимізації складу і структури</w:t>
      </w:r>
      <w:r w:rsidRPr="0087616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активів.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 першому етапі аналізу активів складають динаміку змін обсягів і структури (питомої ваги) найважливіших груп активів за кілька років.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Таке зіставлення дає змогу побачити політику вкладення ресурсів банку в прибуткові активи чи, можливо, в їх</w:t>
      </w:r>
      <w:r w:rsidRPr="0087616E">
        <w:rPr>
          <w:rFonts w:ascii="Times New Roman" w:eastAsia="Times New Roman" w:hAnsi="Times New Roman" w:cs="Times New Roman"/>
          <w:spacing w:val="53"/>
          <w:sz w:val="28"/>
          <w:szCs w:val="28"/>
          <w:lang w:val="uk-UA" w:eastAsia="uk-UA" w:bidi="uk-UA"/>
        </w:rPr>
        <w:t xml:space="preserve">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капіталізацію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(основні фонди тощо), що не сприятиме у перспективі зростанню дохідності.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Після аналізу за групами проводять деталізований аналіз за видами або підгрупами активів у динаміці за низку років і за питомою вагою кожного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виду в загальній сумі активів.</w:t>
      </w:r>
    </w:p>
    <w:p w:rsid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Якісний їх склад характеризується співвідношенням продуктивних і непродуктивних активів та витрат на власні потреби. До продуктивних активів належать усі операції з клієнтурою і контрагентами банку за кредитно-інвестиційною системою. До непродуктивних — вимоги за ризиковими операціями, резерви і кошти дебіторів. До затрат на власні потреби відносять капіталізовані активи, нематеріальні активи, збитки, відвернуті за рахунок прибутку.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Оцінка якості активів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важливий показник для визначення ступеня надійності банку та ефективності його діяльності.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Аналізуючи активні операції, групують статті за окремими ознаками.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Аналіз структури активів на ліквідність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Усі активи банку можна поділити на шість груп: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Високоліквідні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це кошти в касі, у НБУ та в інших банках, а також активи, які можна швидко конверту вати у готівкові та безготівкові кошти. Вони не дають банку доходу, але необхідні для розрахунків за зобов’язаннями. До них належать: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готівкові кошти та банківські метали;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кошти до запитання в НБУ;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кошти до запитання в інших банках;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строкові депозити в НБУ.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Ліквідні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це активи, які приносять банку дохід, а саме: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усі надані кредити;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депозити в інших банках;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цінні папери;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вкладення в асоційовані та дочірні компанії.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Низьколіквідні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пролонгована та дебіторська забо- ргованість.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Неліквідні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прострочена та сумнівна заборгова- ність за кредитами.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lastRenderedPageBreak/>
        <w:t xml:space="preserve">Недохідні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становлять: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основні засоби та нематеріальні активи;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капіталовкладення;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товарно-матеріальні цінності.</w:t>
      </w:r>
    </w:p>
    <w:p w:rsidR="0087616E" w:rsidRPr="0087616E" w:rsidRDefault="0087616E" w:rsidP="0087616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>Квазіактиви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нараховані доходи банку;</w:t>
      </w:r>
    </w:p>
    <w:p w:rsidR="0087616E" w:rsidRPr="0087616E" w:rsidRDefault="0087616E" w:rsidP="0087616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прострочені нараховані доходи та інші активи.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i/>
          <w:sz w:val="28"/>
          <w:szCs w:val="28"/>
          <w:lang w:val="uk-UA" w:eastAsia="uk-UA" w:bidi="uk-UA"/>
        </w:rPr>
        <w:t xml:space="preserve">Робочі активи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— це кошти на коррахунках, у касі, вкладені у майно, цінні папери, розміщені в інших банках, надані у кредит тощо, які дають банку дохід.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Коефіцієнт співвідношення дохідних та загальних активів (kc) дає змогу з’ясувати, чи продуктивно використовує банк свої ак- тиви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kc 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Доходні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активи/</w:t>
      </w: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Загальні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активи</w:t>
      </w:r>
    </w:p>
    <w:p w:rsidR="0087616E" w:rsidRP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7616E" w:rsidRDefault="0087616E" w:rsidP="008761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87616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Втім, «непродуктивне» використання певної частини активів є явищем цілком нормальним. Приміром, приміщення та обладнання як активи не дають відчутного прибутку, але вони — необхідна складова операційної діяльності банку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2D725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Активні операції банку є ризиковими. 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2D725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Для розрахунку адекватності регулятивного капіталу банку його активи поділяються на групи за ступенем ризику та підсумовуються з урахуванням відповідних коефіцієнтів зваження: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n445"/>
      <w:bookmarkStart w:id="1" w:name="n446"/>
      <w:bookmarkEnd w:id="0"/>
      <w:bookmarkEnd w:id="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а) I група активів зі ступенем ризику 0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" w:name="n1365"/>
      <w:bookmarkEnd w:id="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готівкові кошти;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" w:name="n1366"/>
      <w:bookmarkEnd w:id="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банківські метали;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" w:name="n1367"/>
      <w:bookmarkEnd w:id="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активи за операціями з Національним банком;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" w:name="n2098"/>
      <w:bookmarkStart w:id="6" w:name="n1369"/>
      <w:bookmarkEnd w:id="5"/>
      <w:bookmarkEnd w:id="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боргові цінні папери центральних органів виконавчої влади України, емітовані в національній валюті (гривні);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" w:name="n2322"/>
      <w:bookmarkStart w:id="8" w:name="n1370"/>
      <w:bookmarkEnd w:id="7"/>
      <w:bookmarkEnd w:id="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активи за операціями з Міжнародним банком реконструкції та </w:t>
      </w:r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>розвитку, Європейським банком реконструкції та розвитку, Міжнародною фінансовою корпорацією, Європейським інвестиційним банком, Європейським інвестиційним фондом;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" w:name="n2323"/>
      <w:bookmarkStart w:id="10" w:name="n1371"/>
      <w:bookmarkEnd w:id="9"/>
      <w:bookmarkEnd w:id="1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активи, які забезпечені гарантією Кабінету Міні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стр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 України, наданою відповідно до закону про Державний бюджет України на відповідний рік, у порядку, передбаченому </w:t>
      </w:r>
      <w:hyperlink r:id="rId6" w:tgtFrame="_blank" w:history="1">
        <w:r w:rsidRPr="002D725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 w:bidi="uk-UA"/>
          </w:rPr>
          <w:t>Бюджетним кодексом України</w:t>
        </w:r>
      </w:hyperlink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 (далі - державні гарантії) (облігації Державної іпотечної установи та боргові цінні папери підприємств, розміщення яких здійснюється під державні гарантії; кредити, надані органам державної влади та суб'єктам господарювання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ід державні гарантії, кредити, надані головним розпорядникам коштів державного бюджету та головним розпорядникам коштів місцевих бюджетів під державні гарантії, для здійснення капітальних видатків);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1" w:name="n1812"/>
      <w:bookmarkEnd w:id="1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центральними органами виконавчої влади країн,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"АА-" за класифікацією рейтингового агентства "Standard&amp;Poor's" або рейтингового агентства "Fitch Ratings"/рівень "Аа3"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2" w:name="n1813"/>
      <w:bookmarkStart w:id="13" w:name="n1372"/>
      <w:bookmarkEnd w:id="12"/>
      <w:bookmarkEnd w:id="1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зобов'язання з кредитування, які надані клієнтам та за якими банк не бере на себе ризик;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4" w:name="n1373"/>
      <w:bookmarkEnd w:id="1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валюта та банківські метали до отримання за купленими опціонними контрактами з метою хеджування;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5" w:name="n1374"/>
      <w:bookmarkEnd w:id="1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6" w:name="n1579"/>
      <w:bookmarkStart w:id="17" w:name="n466"/>
      <w:bookmarkEnd w:id="16"/>
      <w:bookmarkEnd w:id="1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б) II група активів із ступенем ризику 10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8" w:name="n467"/>
      <w:bookmarkEnd w:id="1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кредити, що надані органам державної влади;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9" w:name="n1580"/>
      <w:bookmarkStart w:id="20" w:name="n468"/>
      <w:bookmarkEnd w:id="19"/>
      <w:bookmarkEnd w:id="2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кредитами, що надані органам державної влади;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1" w:name="n1581"/>
      <w:bookmarkStart w:id="22" w:name="n470"/>
      <w:bookmarkEnd w:id="21"/>
      <w:bookmarkEnd w:id="2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в) III група активів зі ступенем ризику 20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3" w:name="n2324"/>
      <w:bookmarkEnd w:id="2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боргові цінні папери органів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ісцевого самоврядування України, емітовані в національній валюті (гривні);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4" w:name="n2325"/>
      <w:bookmarkEnd w:id="2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 xml:space="preserve">кошти до запитання, що розміщені в банках,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5" w:name="n2326"/>
      <w:bookmarkEnd w:id="2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депозити овернайт та інші короткострокові депозити, що розміщені в банках,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6" w:name="n2327"/>
      <w:bookmarkEnd w:id="2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кредити овердрафт, овернайт та інші короткострокові кредити, що розміщені в банках,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7" w:name="n2328"/>
      <w:bookmarkEnd w:id="2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валюта та банківські метали до отримання за операціями спот з банками-контрагентами,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8" w:name="n2329"/>
      <w:bookmarkEnd w:id="2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центральними органами виконавчої влади країн,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"А-" за класифікацією рейтингового агентства "Standard&amp;Poor's" або рейтингового агентства "Fitch Ratings"/рівень "А3"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29" w:name="n2330"/>
      <w:bookmarkEnd w:id="2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органами місцевого самоврядування країн,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"АА-" за класифікацією рейтингового агентства "Standard&amp;Poor's" або рейтингового агентства "Fitch Ratings"/рівень "Аа3"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0" w:name="n2331"/>
      <w:bookmarkEnd w:id="3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 xml:space="preserve">цінні папери, емітовані суб'єктами господарювання,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"АА-" за класифікацією рейтингового агентства "Standard&amp;Poor's" або рейтингового агентства "Fitch Ratings"/рівень "Аа3"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1" w:name="n2332"/>
      <w:bookmarkEnd w:id="3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боргові цінні папери, емітовані банками,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"АА-" за класифікацією рейтингового агентства "Standard&amp;Poor's" або рейтингового агентства "Fitch Ratings"/рівень "Аа3"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2" w:name="n2333"/>
      <w:bookmarkEnd w:id="3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3" w:name="n486"/>
      <w:bookmarkStart w:id="34" w:name="n2334"/>
      <w:bookmarkEnd w:id="33"/>
      <w:bookmarkEnd w:id="3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г) IV група активів зі ступенем ризику 30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5" w:name="n2335"/>
      <w:bookmarkEnd w:id="3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боргові цінні папери, емітовані банками,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"А-" за класифікацією рейтингового агентства "Standard&amp;Poor's" або рейтингового агентства "Fitch Ratings"/рівень "А3"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6" w:name="n2336"/>
      <w:bookmarkEnd w:id="3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7" w:name="n2337"/>
      <w:bookmarkStart w:id="38" w:name="n487"/>
      <w:bookmarkEnd w:id="37"/>
      <w:bookmarkEnd w:id="38"/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ґ) V група активів зі ступенем ризику 35 відсотків:</w:t>
      </w:r>
      <w:proofErr w:type="gramEnd"/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39" w:name="n2338"/>
      <w:bookmarkStart w:id="40" w:name="n488"/>
      <w:bookmarkEnd w:id="39"/>
      <w:bookmarkEnd w:id="4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іпотечні кредити, що надані фізичним особам та включаються до складу іпотечного покриття, яке відповідає вимогам законодавства України, за іпотечними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обл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ігаціями, емітованими фінансовою установою, більше ніж 50 відсотків корпоративних прав якої належить державі та/або державним банкам, за умови наявності документального підтвердження спроможності позичальника погашати борг грошовими коштами, джерела походження яких не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пов’язан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 із заставою, уключаючи нараховані доходи за такими кредитами, строк сплати яких згідно з договором не минув;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1" w:name="n1588"/>
      <w:bookmarkStart w:id="42" w:name="n490"/>
      <w:bookmarkEnd w:id="41"/>
      <w:bookmarkEnd w:id="4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д) VI група активів зі ступенем ризику 50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3" w:name="n2339"/>
      <w:bookmarkStart w:id="44" w:name="n512"/>
      <w:bookmarkEnd w:id="43"/>
      <w:bookmarkEnd w:id="4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 xml:space="preserve">кошти до запитання в банках,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5" w:name="n2340"/>
      <w:bookmarkStart w:id="46" w:name="n1589"/>
      <w:bookmarkEnd w:id="45"/>
      <w:bookmarkEnd w:id="4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депозити овернайт, що розміщені в банках,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7" w:name="n2341"/>
      <w:bookmarkStart w:id="48" w:name="n1590"/>
      <w:bookmarkEnd w:id="47"/>
      <w:bookmarkEnd w:id="4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кредити, що надані органам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ісцевого самоврядування;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49" w:name="n1591"/>
      <w:bookmarkEnd w:id="4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гарантійні депозити в інших банках (покриті);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0" w:name="n1592"/>
      <w:bookmarkEnd w:id="5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зобов'язання з кредитування, які надані банкам;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1" w:name="n1593"/>
      <w:bookmarkEnd w:id="5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валюта та банківські метали до отримання за форвардними та ф'ючерсними контрактами;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2" w:name="n1594"/>
      <w:bookmarkEnd w:id="5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активи до одержання;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3" w:name="n1595"/>
      <w:bookmarkEnd w:id="5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валюта та банківські метали до отримання за операціями спот з банками-контрагентами,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4" w:name="n2342"/>
      <w:bookmarkStart w:id="55" w:name="n1596"/>
      <w:bookmarkEnd w:id="54"/>
      <w:bookmarkEnd w:id="5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кредити овернайт, що надані банкам,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6" w:name="n2343"/>
      <w:bookmarkStart w:id="57" w:name="n1597"/>
      <w:bookmarkEnd w:id="56"/>
      <w:bookmarkEnd w:id="5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валюта та банківські метали до отримання за іншими опціонними контрактами;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8" w:name="n1598"/>
      <w:bookmarkEnd w:id="5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витрати майбутніх періоді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 які хеджовані;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59" w:name="n1599"/>
      <w:bookmarkEnd w:id="5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 xml:space="preserve">іпотечні кредити, що надані фізичним особам у національній валюті та повністю забезпечені заставою нерухомого майна житлового призначення, яке належить позичальнику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праві власності та є вільним від будь-яких обмежень речових прав на нерухоме майно;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0" w:name="n1600"/>
      <w:bookmarkEnd w:id="6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іпотечні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обл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ігації, емітовані фінансовою установою, більше ніж 50 відсотків корпоративних прав якої належить державі та/або державним банкам;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1" w:name="n2345"/>
      <w:bookmarkEnd w:id="6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центральними органами виконавчої влади країн,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2" w:name="n2349"/>
      <w:bookmarkStart w:id="63" w:name="n2346"/>
      <w:bookmarkEnd w:id="62"/>
      <w:bookmarkEnd w:id="6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органами місцевого самоврядування країн, що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"А-" за класифікацією рейтингового агентства "Standard&amp;Poor's" або рейтингового агентства "Fitch Ratings"/рівень "А3"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4" w:name="n2350"/>
      <w:bookmarkStart w:id="65" w:name="n2347"/>
      <w:bookmarkEnd w:id="64"/>
      <w:bookmarkEnd w:id="6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емітовані суб'єктами господарювання, що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"А-" за класифікацією рейтингового агентства "Standard&amp;Poor's" або рейтингового агентства "Fitch Ratings"/рівень "А3"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6" w:name="n2351"/>
      <w:bookmarkStart w:id="67" w:name="n2348"/>
      <w:bookmarkEnd w:id="66"/>
      <w:bookmarkEnd w:id="6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боргові цінні папери, емітовані банками, які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68" w:name="n2344"/>
      <w:bookmarkStart w:id="69" w:name="n1601"/>
      <w:bookmarkEnd w:id="68"/>
      <w:bookmarkEnd w:id="6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0" w:name="n514"/>
      <w:bookmarkStart w:id="71" w:name="n2354"/>
      <w:bookmarkEnd w:id="70"/>
      <w:bookmarkEnd w:id="7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е) VII група активів зі ступенем ризику 75 відсоткі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2" w:name="n2355"/>
      <w:bookmarkEnd w:id="7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 xml:space="preserve">цінні папери, емітовані суб'єктами господарювання, що мають кредитний рейтинг за міжнародною шкалою, не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3" w:name="n2356"/>
      <w:bookmarkEnd w:id="7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доходи, строк сплати яких згідно з договором не минув,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4" w:name="n2352"/>
      <w:bookmarkStart w:id="75" w:name="n515"/>
      <w:bookmarkEnd w:id="74"/>
      <w:bookmarkEnd w:id="75"/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є) VIII група активів із ступенем ризику 100 відсотків:</w:t>
      </w:r>
      <w:proofErr w:type="gramEnd"/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6" w:name="n2357"/>
      <w:bookmarkStart w:id="77" w:name="n558"/>
      <w:bookmarkEnd w:id="76"/>
      <w:bookmarkEnd w:id="7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короткострокові вклади (депозити), що розміщені в банках,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Service";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78" w:name="n2358"/>
      <w:bookmarkStart w:id="79" w:name="n1602"/>
      <w:bookmarkEnd w:id="78"/>
      <w:bookmarkEnd w:id="7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довгострокові вклади (депозити), що розміщені в інших банках;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0" w:name="n1603"/>
      <w:bookmarkEnd w:id="8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гарантійні депозити в інших банках (непокриті);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1" w:name="n1604"/>
      <w:bookmarkEnd w:id="8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кредити овердрафт, кошти за операціями репо та інші короткострокові кредити, що надані банкам, які не мають кредитного рейтингу або мають кредитний рейтинг за міжнародною шкалою, нижчий, ніж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івень "ВВВ-" за класифікацією рейтингового агентства "Standard&amp;Poor's" або рейтингового агентства "Fitch Ratings"/рівень "Ваа3" за класифікацією рейтингового агентства "Moody's Investors Service;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2" w:name="n2359"/>
      <w:bookmarkStart w:id="83" w:name="n1605"/>
      <w:bookmarkEnd w:id="82"/>
      <w:bookmarkEnd w:id="8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довгострокові кредити, що надані іншим банкам;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4" w:name="n1606"/>
      <w:bookmarkEnd w:id="84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фінансовий лізинг (оренда), що наданий іншим банкам;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5" w:name="n1607"/>
      <w:bookmarkEnd w:id="8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кредити, що надані суб'єктам господарювання;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6" w:name="n1608"/>
      <w:bookmarkEnd w:id="8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дебіторська заборгованість за операціями з банками та за операціями з клієнтами банкі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7" w:name="n1609"/>
      <w:bookmarkEnd w:id="8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транзитний рахунок за операціями, здійсненими платіжними картками через банкомат;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8" w:name="n1610"/>
      <w:bookmarkEnd w:id="8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кредити, які надані фізичним особам;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89" w:name="n1611"/>
      <w:bookmarkEnd w:id="8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цінні папери, що не включені до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ідпунктів "а", "в", "г", "д", "е" пункту </w:t>
      </w:r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lastRenderedPageBreak/>
        <w:t>1.3 глави 1 розділу IV цієї Інструкції;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0" w:name="n2360"/>
      <w:bookmarkStart w:id="91" w:name="n1613"/>
      <w:bookmarkEnd w:id="90"/>
      <w:bookmarkEnd w:id="91"/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запаси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матеріальних цінностей;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2" w:name="n1614"/>
      <w:bookmarkEnd w:id="92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основні засоби;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3" w:name="n2208"/>
      <w:bookmarkEnd w:id="93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активи з права користування, базовими активами яких є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матер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іальні активи;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4" w:name="n2209"/>
      <w:bookmarkStart w:id="95" w:name="n1615"/>
      <w:bookmarkEnd w:id="94"/>
      <w:bookmarkEnd w:id="95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інші активи банку;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6" w:name="n1616"/>
      <w:bookmarkEnd w:id="96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зобов'язання за всіма видами гарантій (акцептами, авалями);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7" w:name="n1617"/>
      <w:bookmarkEnd w:id="97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непокриті акредитиви;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8" w:name="n1618"/>
      <w:bookmarkEnd w:id="98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цінні папери до отримання за операціями андеррайтингу;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99" w:name="n1619"/>
      <w:bookmarkEnd w:id="99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інші зобов'язання, що надані клієнтам;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00" w:name="n1620"/>
      <w:bookmarkEnd w:id="100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нараховані доходи за активами, що віднесені до цієї групи активі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у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тому числі строк сплати яких згідно з договором минув;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01" w:name="n1621"/>
      <w:bookmarkEnd w:id="101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заборгованість за активами, у тому числі за нарахованими доходами за ними, що визначені у </w:t>
      </w:r>
      <w:proofErr w:type="gramStart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proofErr w:type="gramEnd"/>
      <w:r w:rsidRPr="002D72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ідпунктах "а" - "е" пункту 1.3 глави 1 розділу IV цієї Інструкції, строк сплати за якою згідно з договором минув.</w:t>
      </w:r>
    </w:p>
    <w:p w:rsidR="002D7258" w:rsidRPr="002D7258" w:rsidRDefault="002D7258" w:rsidP="002D72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102" w:name="n2361"/>
      <w:bookmarkStart w:id="103" w:name="_GoBack"/>
      <w:bookmarkEnd w:id="102"/>
      <w:bookmarkEnd w:id="103"/>
    </w:p>
    <w:p w:rsidR="001B12E8" w:rsidRPr="0087616E" w:rsidRDefault="001B12E8" w:rsidP="0087616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sectPr w:rsidR="001B12E8" w:rsidRPr="008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51A4"/>
    <w:multiLevelType w:val="hybridMultilevel"/>
    <w:tmpl w:val="7840B0D4"/>
    <w:lvl w:ilvl="0" w:tplc="49DA9778">
      <w:numFmt w:val="bullet"/>
      <w:lvlText w:val=""/>
      <w:lvlJc w:val="left"/>
      <w:pPr>
        <w:ind w:left="107" w:hanging="176"/>
      </w:pPr>
      <w:rPr>
        <w:rFonts w:ascii="Symbol" w:eastAsia="Symbol" w:hAnsi="Symbol" w:cs="Symbol" w:hint="default"/>
        <w:w w:val="100"/>
        <w:sz w:val="23"/>
        <w:szCs w:val="23"/>
        <w:lang w:val="uk-UA" w:eastAsia="uk-UA" w:bidi="uk-UA"/>
      </w:rPr>
    </w:lvl>
    <w:lvl w:ilvl="1" w:tplc="435A40F0">
      <w:numFmt w:val="bullet"/>
      <w:lvlText w:val="•"/>
      <w:lvlJc w:val="left"/>
      <w:pPr>
        <w:ind w:left="765" w:hanging="176"/>
      </w:pPr>
      <w:rPr>
        <w:rFonts w:hint="default"/>
        <w:lang w:val="uk-UA" w:eastAsia="uk-UA" w:bidi="uk-UA"/>
      </w:rPr>
    </w:lvl>
    <w:lvl w:ilvl="2" w:tplc="A1C6A0CA">
      <w:numFmt w:val="bullet"/>
      <w:lvlText w:val="•"/>
      <w:lvlJc w:val="left"/>
      <w:pPr>
        <w:ind w:left="1430" w:hanging="176"/>
      </w:pPr>
      <w:rPr>
        <w:rFonts w:hint="default"/>
        <w:lang w:val="uk-UA" w:eastAsia="uk-UA" w:bidi="uk-UA"/>
      </w:rPr>
    </w:lvl>
    <w:lvl w:ilvl="3" w:tplc="E9E22458">
      <w:numFmt w:val="bullet"/>
      <w:lvlText w:val="•"/>
      <w:lvlJc w:val="left"/>
      <w:pPr>
        <w:ind w:left="2095" w:hanging="176"/>
      </w:pPr>
      <w:rPr>
        <w:rFonts w:hint="default"/>
        <w:lang w:val="uk-UA" w:eastAsia="uk-UA" w:bidi="uk-UA"/>
      </w:rPr>
    </w:lvl>
    <w:lvl w:ilvl="4" w:tplc="B0E4A3CA">
      <w:numFmt w:val="bullet"/>
      <w:lvlText w:val="•"/>
      <w:lvlJc w:val="left"/>
      <w:pPr>
        <w:ind w:left="2760" w:hanging="176"/>
      </w:pPr>
      <w:rPr>
        <w:rFonts w:hint="default"/>
        <w:lang w:val="uk-UA" w:eastAsia="uk-UA" w:bidi="uk-UA"/>
      </w:rPr>
    </w:lvl>
    <w:lvl w:ilvl="5" w:tplc="FA9245F4">
      <w:numFmt w:val="bullet"/>
      <w:lvlText w:val="•"/>
      <w:lvlJc w:val="left"/>
      <w:pPr>
        <w:ind w:left="3425" w:hanging="176"/>
      </w:pPr>
      <w:rPr>
        <w:rFonts w:hint="default"/>
        <w:lang w:val="uk-UA" w:eastAsia="uk-UA" w:bidi="uk-UA"/>
      </w:rPr>
    </w:lvl>
    <w:lvl w:ilvl="6" w:tplc="25B29990">
      <w:numFmt w:val="bullet"/>
      <w:lvlText w:val="•"/>
      <w:lvlJc w:val="left"/>
      <w:pPr>
        <w:ind w:left="4090" w:hanging="176"/>
      </w:pPr>
      <w:rPr>
        <w:rFonts w:hint="default"/>
        <w:lang w:val="uk-UA" w:eastAsia="uk-UA" w:bidi="uk-UA"/>
      </w:rPr>
    </w:lvl>
    <w:lvl w:ilvl="7" w:tplc="B0D6A07C">
      <w:numFmt w:val="bullet"/>
      <w:lvlText w:val="•"/>
      <w:lvlJc w:val="left"/>
      <w:pPr>
        <w:ind w:left="4755" w:hanging="176"/>
      </w:pPr>
      <w:rPr>
        <w:rFonts w:hint="default"/>
        <w:lang w:val="uk-UA" w:eastAsia="uk-UA" w:bidi="uk-UA"/>
      </w:rPr>
    </w:lvl>
    <w:lvl w:ilvl="8" w:tplc="1FC07E02">
      <w:numFmt w:val="bullet"/>
      <w:lvlText w:val="•"/>
      <w:lvlJc w:val="left"/>
      <w:pPr>
        <w:ind w:left="5420" w:hanging="176"/>
      </w:pPr>
      <w:rPr>
        <w:rFonts w:hint="default"/>
        <w:lang w:val="uk-UA" w:eastAsia="uk-UA" w:bidi="uk-UA"/>
      </w:rPr>
    </w:lvl>
  </w:abstractNum>
  <w:abstractNum w:abstractNumId="1">
    <w:nsid w:val="57E713D7"/>
    <w:multiLevelType w:val="hybridMultilevel"/>
    <w:tmpl w:val="86307276"/>
    <w:lvl w:ilvl="0" w:tplc="8DE4D052">
      <w:start w:val="1"/>
      <w:numFmt w:val="decimal"/>
      <w:lvlText w:val="%1."/>
      <w:lvlJc w:val="left"/>
      <w:pPr>
        <w:ind w:left="107" w:hanging="237"/>
      </w:pPr>
      <w:rPr>
        <w:rFonts w:ascii="Times New Roman" w:eastAsia="Times New Roman" w:hAnsi="Times New Roman" w:cs="Times New Roman" w:hint="default"/>
        <w:i/>
        <w:w w:val="100"/>
        <w:sz w:val="23"/>
        <w:szCs w:val="23"/>
        <w:lang w:val="uk-UA" w:eastAsia="uk-UA" w:bidi="uk-UA"/>
      </w:rPr>
    </w:lvl>
    <w:lvl w:ilvl="1" w:tplc="774C2D7E">
      <w:numFmt w:val="bullet"/>
      <w:lvlText w:val="•"/>
      <w:lvlJc w:val="left"/>
      <w:pPr>
        <w:ind w:left="765" w:hanging="237"/>
      </w:pPr>
      <w:rPr>
        <w:rFonts w:hint="default"/>
        <w:lang w:val="uk-UA" w:eastAsia="uk-UA" w:bidi="uk-UA"/>
      </w:rPr>
    </w:lvl>
    <w:lvl w:ilvl="2" w:tplc="817E43C2">
      <w:numFmt w:val="bullet"/>
      <w:lvlText w:val="•"/>
      <w:lvlJc w:val="left"/>
      <w:pPr>
        <w:ind w:left="1430" w:hanging="237"/>
      </w:pPr>
      <w:rPr>
        <w:rFonts w:hint="default"/>
        <w:lang w:val="uk-UA" w:eastAsia="uk-UA" w:bidi="uk-UA"/>
      </w:rPr>
    </w:lvl>
    <w:lvl w:ilvl="3" w:tplc="B462BE50">
      <w:numFmt w:val="bullet"/>
      <w:lvlText w:val="•"/>
      <w:lvlJc w:val="left"/>
      <w:pPr>
        <w:ind w:left="2095" w:hanging="237"/>
      </w:pPr>
      <w:rPr>
        <w:rFonts w:hint="default"/>
        <w:lang w:val="uk-UA" w:eastAsia="uk-UA" w:bidi="uk-UA"/>
      </w:rPr>
    </w:lvl>
    <w:lvl w:ilvl="4" w:tplc="88E084E6">
      <w:numFmt w:val="bullet"/>
      <w:lvlText w:val="•"/>
      <w:lvlJc w:val="left"/>
      <w:pPr>
        <w:ind w:left="2760" w:hanging="237"/>
      </w:pPr>
      <w:rPr>
        <w:rFonts w:hint="default"/>
        <w:lang w:val="uk-UA" w:eastAsia="uk-UA" w:bidi="uk-UA"/>
      </w:rPr>
    </w:lvl>
    <w:lvl w:ilvl="5" w:tplc="13A85E80">
      <w:numFmt w:val="bullet"/>
      <w:lvlText w:val="•"/>
      <w:lvlJc w:val="left"/>
      <w:pPr>
        <w:ind w:left="3425" w:hanging="237"/>
      </w:pPr>
      <w:rPr>
        <w:rFonts w:hint="default"/>
        <w:lang w:val="uk-UA" w:eastAsia="uk-UA" w:bidi="uk-UA"/>
      </w:rPr>
    </w:lvl>
    <w:lvl w:ilvl="6" w:tplc="EEC8265C">
      <w:numFmt w:val="bullet"/>
      <w:lvlText w:val="•"/>
      <w:lvlJc w:val="left"/>
      <w:pPr>
        <w:ind w:left="4090" w:hanging="237"/>
      </w:pPr>
      <w:rPr>
        <w:rFonts w:hint="default"/>
        <w:lang w:val="uk-UA" w:eastAsia="uk-UA" w:bidi="uk-UA"/>
      </w:rPr>
    </w:lvl>
    <w:lvl w:ilvl="7" w:tplc="1160DD06">
      <w:numFmt w:val="bullet"/>
      <w:lvlText w:val="•"/>
      <w:lvlJc w:val="left"/>
      <w:pPr>
        <w:ind w:left="4755" w:hanging="237"/>
      </w:pPr>
      <w:rPr>
        <w:rFonts w:hint="default"/>
        <w:lang w:val="uk-UA" w:eastAsia="uk-UA" w:bidi="uk-UA"/>
      </w:rPr>
    </w:lvl>
    <w:lvl w:ilvl="8" w:tplc="B7C0BF74">
      <w:numFmt w:val="bullet"/>
      <w:lvlText w:val="•"/>
      <w:lvlJc w:val="left"/>
      <w:pPr>
        <w:ind w:left="5420" w:hanging="237"/>
      </w:pPr>
      <w:rPr>
        <w:rFonts w:hint="default"/>
        <w:lang w:val="uk-UA" w:eastAsia="uk-UA" w:bidi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AA"/>
    <w:rsid w:val="001B12E8"/>
    <w:rsid w:val="002D7258"/>
    <w:rsid w:val="00844FBC"/>
    <w:rsid w:val="0087616E"/>
    <w:rsid w:val="00A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2020-11-09T08:12:00Z</dcterms:created>
  <dcterms:modified xsi:type="dcterms:W3CDTF">2020-11-09T08:12:00Z</dcterms:modified>
</cp:coreProperties>
</file>