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6E" w:rsidRPr="00870CE6" w:rsidRDefault="0087616E" w:rsidP="0087616E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Times New Roman" w:cs="Times New Roman"/>
          <w:b/>
          <w:sz w:val="27"/>
          <w:szCs w:val="23"/>
          <w:lang w:val="uk-UA" w:eastAsia="uk-UA" w:bidi="uk-UA"/>
        </w:rPr>
      </w:pP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ТЕМА  5 АНАЛІЗ АКТИВІВ БАНКУ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Активні операції банків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— це фінансові операції з розміщення коштів із метою отримання доходів. До них належать надання кредитів та позичок, купівля цінних паперів, вкладення коштів у комерційні проекти, лізингові, факторингові операції, операції з векселями тощо.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Актив —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це той чи інший об’єкт, який контролюється банком та відповідає принаймні одній із названих нижче вимог: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tabs>
          <w:tab w:val="left" w:pos="58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дає</w:t>
      </w:r>
      <w:r w:rsidRPr="0087616E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uk-UA"/>
        </w:rPr>
        <w:t xml:space="preserve">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дохід;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tabs>
          <w:tab w:val="left" w:pos="58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може бути обміняний на інший об’єкт, який дає</w:t>
      </w:r>
      <w:r w:rsidRPr="0087616E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 w:bidi="uk-UA"/>
        </w:rPr>
        <w:t xml:space="preserve">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дохід.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Усі активні операції банку є ризиковими, проте вони забезпечують йому значну частину доходів.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Мета дослідження активних операцій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полягає у тому, щоб визначити шляхом аналізу по вертикалі динамічні зміни у структурі активів. На основі оцінки по горизонталі аналізують зміни у динаміці, зіставляючи дані за різні періоди.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Завдання аналізу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активів банківського сектору та окремого банку: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tabs>
          <w:tab w:val="left" w:pos="5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визначення кількарічної тенденції щодо збільшення чи зменшення активів, зокрема дохідних, недохідних, робочих,</w:t>
      </w:r>
      <w:r w:rsidRPr="0087616E">
        <w:rPr>
          <w:rFonts w:ascii="Times New Roman" w:eastAsia="Times New Roman" w:hAnsi="Times New Roman" w:cs="Times New Roman"/>
          <w:spacing w:val="15"/>
          <w:sz w:val="28"/>
          <w:szCs w:val="28"/>
          <w:lang w:val="uk-UA" w:eastAsia="uk-UA" w:bidi="uk-UA"/>
        </w:rPr>
        <w:t xml:space="preserve">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високоліквідних, іммобілізованих (вкладених в основні фонди тощо);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tabs>
          <w:tab w:val="left" w:pos="5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аналіз якості активів, зокрема кредитного</w:t>
      </w:r>
      <w:r w:rsidRPr="0087616E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uk-UA" w:bidi="uk-UA"/>
        </w:rPr>
        <w:t xml:space="preserve">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портфеля;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tabs>
          <w:tab w:val="left" w:pos="58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виведення узагальнюючої оцінки стосовно оптимізації складу і структури</w:t>
      </w:r>
      <w:r w:rsidRPr="0087616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 w:bidi="uk-UA"/>
        </w:rPr>
        <w:t xml:space="preserve">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активів.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 першому етапі аналізу активів складають динаміку змін обсягів і структури (питомої ваги) найважливіших груп активів за кілька років.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Таке зіставлення дає змогу побачити політику вкладення ресурсів банку в прибуткові активи чи, можливо, в їх</w:t>
      </w:r>
      <w:r w:rsidRPr="0087616E">
        <w:rPr>
          <w:rFonts w:ascii="Times New Roman" w:eastAsia="Times New Roman" w:hAnsi="Times New Roman" w:cs="Times New Roman"/>
          <w:spacing w:val="53"/>
          <w:sz w:val="28"/>
          <w:szCs w:val="28"/>
          <w:lang w:val="uk-UA" w:eastAsia="uk-UA" w:bidi="uk-UA"/>
        </w:rPr>
        <w:t xml:space="preserve">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капіталізацію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(основні фонди тощо), що не сприятиме у перспективі зростанню дохідності.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Після аналізу за групами проводять деталізований аналіз за видами або підгрупами активів у динаміці за низку років і за питомою вагою кожного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>виду в загальній сумі активів.</w:t>
      </w:r>
    </w:p>
    <w:p w:rsid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Якісний їх склад характеризується співвідношенням продуктивних і непродуктивних активів та витрат на власні потреби. До продуктивних активів належать усі операції з клієнтурою і контрагентами банку за кредитно-інвестиційною системою. До непродуктивних — вимоги за ризиковими операціями, резерви і кошти дебіторів. До затрат на власні потреби відносять капіталізовані активи, нематеріальні активи, збитки, відвернуті за рахунок прибутку.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Оцінка якості активів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— важливий показник для визначення ступеня надійності банку та ефективності його діяльності.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Аналізуючи активні операції, групують статті за окремими ознаками.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Аналіз структури активів на ліквідність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Усі активи банку можна поділити на шість груп:</w:t>
      </w:r>
    </w:p>
    <w:p w:rsidR="0087616E" w:rsidRPr="0087616E" w:rsidRDefault="0087616E" w:rsidP="0087616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Високоліквідні активи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— це кошти в касі, у НБУ та в інших банках, а також активи, які можна швидко конверту вати у готівкові та безготівкові кошти. Вони не дають банку доходу, але необхідні для розрахунків за зобов’язаннями. До них належать: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готівкові кошти та банківські метали;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кошти до запитання в НБУ;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кошти до запитання в інших банках;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строкові депозити в НБУ.</w:t>
      </w:r>
    </w:p>
    <w:p w:rsidR="0087616E" w:rsidRPr="0087616E" w:rsidRDefault="0087616E" w:rsidP="0087616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Ліквідні активи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— це активи, які приносять банку дохід, а саме: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усі надані кредити;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депозити в інших банках;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цінні папери;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вкладення в асоційовані та дочірні компанії.</w:t>
      </w:r>
    </w:p>
    <w:p w:rsidR="0087616E" w:rsidRPr="0087616E" w:rsidRDefault="0087616E" w:rsidP="0087616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Низьколіквідні активи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— пролонгована та дебіторська забо- ргованість.</w:t>
      </w:r>
    </w:p>
    <w:p w:rsidR="0087616E" w:rsidRPr="0087616E" w:rsidRDefault="0087616E" w:rsidP="0087616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Неліквідні активи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— прострочена та сумнівна заборгова- ність за кредитами.</w:t>
      </w:r>
    </w:p>
    <w:p w:rsidR="0087616E" w:rsidRPr="0087616E" w:rsidRDefault="0087616E" w:rsidP="0087616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lastRenderedPageBreak/>
        <w:t xml:space="preserve">Недохідні активи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становлять: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основні засоби та нематеріальні активи;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капіталовкладення;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товарно-матеріальні цінності.</w:t>
      </w:r>
    </w:p>
    <w:p w:rsidR="0087616E" w:rsidRPr="0087616E" w:rsidRDefault="0087616E" w:rsidP="0087616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Квазіактиви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: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нараховані доходи банку;</w:t>
      </w:r>
    </w:p>
    <w:p w:rsidR="0087616E" w:rsidRPr="0087616E" w:rsidRDefault="0087616E" w:rsidP="0087616E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прострочені нараховані доходи та інші активи.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Робочі активи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— це кошти на коррахунках, у касі, вкладені у майно, цінні папери, розміщені в інших банках, надані у кредит тощо, які дають банку дохід.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Коефіцієнт співвідношення дохідних та загальних активів (kc) дає змогу з’ясувати, чи продуктивно використовує банк свої ак- тиви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kc 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Доходні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активи/</w:t>
      </w: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Загальні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активи</w:t>
      </w:r>
    </w:p>
    <w:p w:rsidR="0087616E" w:rsidRP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87616E" w:rsidRDefault="0087616E" w:rsidP="008761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87616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Втім, «непродуктивне» використання певної частини активів є явищем цілком нормальним. Приміром, приміщення та обладнання як активи не дають відчутного прибутку, але вони — необхідна складова операційної діяльності банку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2D725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Активні операції банку є ризиковими. 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2D7258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Для розрахунку адекватності регулятивного капіталу банку його активи поділяються на групи за ступенем ризику та підсумовуються з урахуванням відповідних коефіцієнтів зваження: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0" w:name="n445"/>
      <w:bookmarkStart w:id="1" w:name="n446"/>
      <w:bookmarkEnd w:id="0"/>
      <w:bookmarkEnd w:id="1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а) I група активів зі ступенем ризику 0 відсоткі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: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2" w:name="n1365"/>
      <w:bookmarkEnd w:id="2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готівкові кошти;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3" w:name="n1366"/>
      <w:bookmarkEnd w:id="3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банківські метали;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4" w:name="n1367"/>
      <w:bookmarkEnd w:id="4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активи за операціями з Національним банком;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5" w:name="n2098"/>
      <w:bookmarkStart w:id="6" w:name="n1369"/>
      <w:bookmarkEnd w:id="5"/>
      <w:bookmarkEnd w:id="6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боргові цінні папери центральних органів виконавчої влади України, емітовані в національній валюті (гривні);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7" w:name="n2322"/>
      <w:bookmarkStart w:id="8" w:name="n1370"/>
      <w:bookmarkEnd w:id="7"/>
      <w:bookmarkEnd w:id="8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активи за операціями з Міжнародним банком реконструкції та </w:t>
      </w:r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>розвитку, Європейським банком реконструкції та розвитку, Міжнародною фінансовою корпорацією, Європейським інвестиційним банком, Європейським інвестиційним фондом;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9" w:name="n2323"/>
      <w:bookmarkStart w:id="10" w:name="n1371"/>
      <w:bookmarkEnd w:id="9"/>
      <w:bookmarkEnd w:id="10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активи, які забезпечені гарантією Кабінету Міні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стр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 України, наданою відповідно до закону про Державний бюджет України на відповідний рік, у порядку, передбаченому </w:t>
      </w:r>
      <w:hyperlink r:id="rId6" w:tgtFrame="_blank" w:history="1">
        <w:r w:rsidRPr="002D72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 w:bidi="uk-UA"/>
          </w:rPr>
          <w:t>Бюджетним кодексом України</w:t>
        </w:r>
      </w:hyperlink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 (далі - державні гарантії) (облігації Державної іпотечної установи та боргові цінні папери підприємств, розміщення яких здійснюється під державні гарантії; кредити, надані органам державної влади та суб'єктам господарювання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ід державні гарантії, кредити, надані головним розпорядникам коштів державного бюджету та головним розпорядникам коштів місцевих бюджетів під державні гарантії, для здійснення капітальних видатків);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11" w:name="n1812"/>
      <w:bookmarkEnd w:id="11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цінні папери, емітовані центральними органами виконавчої влади країн,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"АА-" за класифікацією рейтингового агентства "Standard&amp;Poor's" або рейтингового агентства "Fitch Ratings"/рівень "Аа3"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12" w:name="n1813"/>
      <w:bookmarkStart w:id="13" w:name="n1372"/>
      <w:bookmarkEnd w:id="12"/>
      <w:bookmarkEnd w:id="13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зобов'язання з кредитування, які надані клієнтам та за якими банк не бере на себе ризик;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14" w:name="n1373"/>
      <w:bookmarkEnd w:id="14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валюта та банківські метали до отримання за купленими опціонними контрактами з метою хеджування;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15" w:name="n1374"/>
      <w:bookmarkEnd w:id="15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нараховані доходи, строк сплати яких згідно з договором не минув, за активами, що віднесені до цієї групи активі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16" w:name="n1579"/>
      <w:bookmarkStart w:id="17" w:name="n466"/>
      <w:bookmarkEnd w:id="16"/>
      <w:bookmarkEnd w:id="17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б) II група активів із ступенем ризику 10 відсоткі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: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18" w:name="n467"/>
      <w:bookmarkEnd w:id="18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кредити, що надані органам державної влади;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19" w:name="n1580"/>
      <w:bookmarkStart w:id="20" w:name="n468"/>
      <w:bookmarkEnd w:id="19"/>
      <w:bookmarkEnd w:id="20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нараховані доходи, строк сплати яких згідно з договором не минув, за кредитами, що надані органам державної влади;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21" w:name="n1581"/>
      <w:bookmarkStart w:id="22" w:name="n470"/>
      <w:bookmarkEnd w:id="21"/>
      <w:bookmarkEnd w:id="22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в) III група активів зі ступенем ризику 20 відсоткі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: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23" w:name="n2324"/>
      <w:bookmarkEnd w:id="23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боргові цінні папери органів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ісцевого самоврядування України, емітовані в національній валюті (гривні);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24" w:name="n2325"/>
      <w:bookmarkEnd w:id="24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 xml:space="preserve">кошти до запитання, що розміщені в банках,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25" w:name="n2326"/>
      <w:bookmarkEnd w:id="25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депозити овернайт та інші короткострокові депозити, що розміщені в банках,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26" w:name="n2327"/>
      <w:bookmarkEnd w:id="26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кредити овердрафт, овернайт та інші короткострокові кредити, що розміщені в банках,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27" w:name="n2328"/>
      <w:bookmarkEnd w:id="27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валюта та банківські метали до отримання за операціями спот з банками-контрагентами,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28" w:name="n2329"/>
      <w:bookmarkEnd w:id="28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цінні папери, емітовані центральними органами виконавчої влади країн,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"А-" за класифікацією рейтингового агентства "Standard&amp;Poor's" або рейтингового агентства "Fitch Ratings"/рівень "А3"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29" w:name="n2330"/>
      <w:bookmarkEnd w:id="29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цінні папери, емітовані органами місцевого самоврядування країн,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"АА-" за класифікацією рейтингового агентства "Standard&amp;Poor's" або рейтингового агентства "Fitch Ratings"/рівень "Аа3"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30" w:name="n2331"/>
      <w:bookmarkEnd w:id="30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 xml:space="preserve">цінні папери, емітовані суб'єктами господарювання,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"АА-" за класифікацією рейтингового агентства "Standard&amp;Poor's" або рейтингового агентства "Fitch Ratings"/рівень "Аа3"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31" w:name="n2332"/>
      <w:bookmarkEnd w:id="31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боргові цінні папери, емітовані банками,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"АА-" за класифікацією рейтингового агентства "Standard&amp;Poor's" або рейтингового агентства "Fitch Ratings"/рівень "Аа3"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32" w:name="n2333"/>
      <w:bookmarkEnd w:id="32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нараховані доходи, строк сплати яких згідно з договором не минув, за активами, що віднесені до цієї групи активі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33" w:name="n486"/>
      <w:bookmarkStart w:id="34" w:name="n2334"/>
      <w:bookmarkEnd w:id="33"/>
      <w:bookmarkEnd w:id="34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г) IV група активів зі ступенем ризику 30 відсоткі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: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35" w:name="n2335"/>
      <w:bookmarkEnd w:id="35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боргові цінні папери, емітовані банками,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"А-" за класифікацією рейтингового агентства "Standard&amp;Poor's" або рейтингового агентства "Fitch Ratings"/рівень "А3"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36" w:name="n2336"/>
      <w:bookmarkEnd w:id="36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нараховані доходи, строк сплати яких згідно з договором не минув, за активами, що віднесені до цієї групи активі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37" w:name="n2337"/>
      <w:bookmarkStart w:id="38" w:name="n487"/>
      <w:bookmarkEnd w:id="37"/>
      <w:bookmarkEnd w:id="38"/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ґ) V група активів зі ступенем ризику 35 відсотків:</w:t>
      </w:r>
      <w:proofErr w:type="gramEnd"/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39" w:name="n2338"/>
      <w:bookmarkStart w:id="40" w:name="n488"/>
      <w:bookmarkEnd w:id="39"/>
      <w:bookmarkEnd w:id="40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іпотечні кредити, що надані фізичним особам та включаються до складу іпотечного покриття, яке відповідає вимогам законодавства України, за іпотечними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обл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ігаціями, емітованими фінансовою установою, більше ніж 50 відсотків корпоративних прав якої належить державі та/або державним банкам, за умови наявності документального підтвердження спроможності позичальника погашати борг грошовими коштами, джерела походження яких не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пов’язан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 із заставою, уключаючи нараховані доходи за такими кредитами, строк сплати яких згідно з договором не минув;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41" w:name="n1588"/>
      <w:bookmarkStart w:id="42" w:name="n490"/>
      <w:bookmarkEnd w:id="41"/>
      <w:bookmarkEnd w:id="42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д) VI група активів зі ступенем ризику 50 відсоткі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: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43" w:name="n2339"/>
      <w:bookmarkStart w:id="44" w:name="n512"/>
      <w:bookmarkEnd w:id="43"/>
      <w:bookmarkEnd w:id="44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 xml:space="preserve">кошти до запитання в банках, які не мають кредитного рейтингу або мають кредитний рейтинг за міжнародною шкалою,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45" w:name="n2340"/>
      <w:bookmarkStart w:id="46" w:name="n1589"/>
      <w:bookmarkEnd w:id="45"/>
      <w:bookmarkEnd w:id="46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депозити овернайт, що розміщені в банках, які не мають кредитного рейтингу або мають кредитний рейтинг за міжнародною шкалою,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47" w:name="n2341"/>
      <w:bookmarkStart w:id="48" w:name="n1590"/>
      <w:bookmarkEnd w:id="47"/>
      <w:bookmarkEnd w:id="48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кредити, що надані органам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ісцевого самоврядування;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49" w:name="n1591"/>
      <w:bookmarkEnd w:id="49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гарантійні депозити в інших банках (покриті);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50" w:name="n1592"/>
      <w:bookmarkEnd w:id="50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зобов'язання з кредитування, які надані банкам;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51" w:name="n1593"/>
      <w:bookmarkEnd w:id="51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валюта та банківські метали до отримання за форвардними та ф'ючерсними контрактами;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52" w:name="n1594"/>
      <w:bookmarkEnd w:id="52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активи до одержання;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53" w:name="n1595"/>
      <w:bookmarkEnd w:id="53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валюта та банківські метали до отримання за операціями спот з банками-контрагентами, які не мають кредитного рейтингу або мають кредитний рейтинг за міжнародною шкалою,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54" w:name="n2342"/>
      <w:bookmarkStart w:id="55" w:name="n1596"/>
      <w:bookmarkEnd w:id="54"/>
      <w:bookmarkEnd w:id="55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кредити овернайт, що надані банкам, які не мають кредитного рейтингу або мають кредитний рейтинг за міжнародною шкалою,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56" w:name="n2343"/>
      <w:bookmarkStart w:id="57" w:name="n1597"/>
      <w:bookmarkEnd w:id="56"/>
      <w:bookmarkEnd w:id="57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валюта та банківські метали до отримання за іншими опціонними контрактами;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58" w:name="n1598"/>
      <w:bookmarkEnd w:id="58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витрати майбутніх періоді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, які хеджовані;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59" w:name="n1599"/>
      <w:bookmarkEnd w:id="59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 xml:space="preserve">іпотечні кредити, що надані фізичним особам у національній валюті та повністю забезпечені заставою нерухомого майна житлового призначення, яке належить позичальнику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праві власності та є вільним від будь-яких обмежень речових прав на нерухоме майно;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60" w:name="n1600"/>
      <w:bookmarkEnd w:id="60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іпотечні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обл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ігації, емітовані фінансовою установою, більше ніж 50 відсотків корпоративних прав якої належить державі та/або державним банкам;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61" w:name="n2345"/>
      <w:bookmarkEnd w:id="61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цінні папери, емітовані центральними органами виконавчої влади країн,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62" w:name="n2349"/>
      <w:bookmarkStart w:id="63" w:name="n2346"/>
      <w:bookmarkEnd w:id="62"/>
      <w:bookmarkEnd w:id="63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цінні папери, емітовані органами місцевого самоврядування країн, що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"А-" за класифікацією рейтингового агентства "Standard&amp;Poor's" або рейтингового агентства "Fitch Ratings"/рівень "А3"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64" w:name="n2350"/>
      <w:bookmarkStart w:id="65" w:name="n2347"/>
      <w:bookmarkEnd w:id="64"/>
      <w:bookmarkEnd w:id="65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цінні папери, емітовані суб'єктами господарювання, що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"А-" за класифікацією рейтингового агентства "Standard&amp;Poor's" або рейтингового агентства "Fitch Ratings"/рівень "А3"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66" w:name="n2351"/>
      <w:bookmarkStart w:id="67" w:name="n2348"/>
      <w:bookmarkEnd w:id="66"/>
      <w:bookmarkEnd w:id="67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боргові цінні папери, емітовані банками, які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68" w:name="n2344"/>
      <w:bookmarkStart w:id="69" w:name="n1601"/>
      <w:bookmarkEnd w:id="68"/>
      <w:bookmarkEnd w:id="69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нараховані доходи, строк сплати яких згідно з договором не минув, за активами, що віднесені до цієї групи активі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70" w:name="n514"/>
      <w:bookmarkStart w:id="71" w:name="n2354"/>
      <w:bookmarkEnd w:id="70"/>
      <w:bookmarkEnd w:id="71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е) VII група активів зі ступенем ризику 75 відсоткі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: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72" w:name="n2355"/>
      <w:bookmarkEnd w:id="72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 xml:space="preserve">цінні папери, емітовані суб'єктами господарювання, що мають кредитний рейтинг за міжнародною шкалою, не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73" w:name="n2356"/>
      <w:bookmarkEnd w:id="73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нараховані доходи, строк сплати яких згідно з договором не минув, за активами, що віднесені до цієї групи активі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74" w:name="n2352"/>
      <w:bookmarkStart w:id="75" w:name="n515"/>
      <w:bookmarkEnd w:id="74"/>
      <w:bookmarkEnd w:id="75"/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є) VIII група активів із ступенем ризику 100 відсотків:</w:t>
      </w:r>
      <w:proofErr w:type="gramEnd"/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76" w:name="n2357"/>
      <w:bookmarkStart w:id="77" w:name="n558"/>
      <w:bookmarkEnd w:id="76"/>
      <w:bookmarkEnd w:id="77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короткострокові вклади (депозити), що розміщені в банках, які не мають кредитного рейтингу або мають кредитний рейтинг за міжнародною шкалою,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Service";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78" w:name="n2358"/>
      <w:bookmarkStart w:id="79" w:name="n1602"/>
      <w:bookmarkEnd w:id="78"/>
      <w:bookmarkEnd w:id="79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довгострокові вклади (депозити), що розміщені в інших банках;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80" w:name="n1603"/>
      <w:bookmarkEnd w:id="80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гарантійні депозити в інших банках (непокриті);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81" w:name="n1604"/>
      <w:bookmarkEnd w:id="81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кредити овердрафт, кошти за операціями репо та інші короткострокові кредити, що надані банкам, які не мають кредитного рейтингу або мають кредитний рейтинг за міжнародною шкалою, нижчий, ніж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івень "ВВВ-" за класифікацією рейтингового агентства "Standard&amp;Poor's" або рейтингового агентства "Fitch Ratings"/рівень "Ваа3" за класифікацією рейтингового агентства "Moody's Investors Service;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82" w:name="n2359"/>
      <w:bookmarkStart w:id="83" w:name="n1605"/>
      <w:bookmarkEnd w:id="82"/>
      <w:bookmarkEnd w:id="83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довгострокові кредити, що надані іншим банкам;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84" w:name="n1606"/>
      <w:bookmarkEnd w:id="84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фінансовий лізинг (оренда), що наданий іншим банкам;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85" w:name="n1607"/>
      <w:bookmarkEnd w:id="85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кредити, що надані суб'єктам господарювання;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86" w:name="n1608"/>
      <w:bookmarkEnd w:id="86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дебіторська заборгованість за операціями з банками та за операціями з клієнтами банкі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87" w:name="n1609"/>
      <w:bookmarkEnd w:id="87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транзитний рахунок за операціями, здійсненими платіжними картками через банкомат;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88" w:name="n1610"/>
      <w:bookmarkEnd w:id="88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кредити, які надані фізичним особам;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89" w:name="n1611"/>
      <w:bookmarkEnd w:id="89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цінні папери, що не включені до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ідпунктів "а", "в", "г", "д", "е" пункту </w:t>
      </w:r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>1.3 глави 1 розділу IV цієї Інструкції;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90" w:name="n2360"/>
      <w:bookmarkStart w:id="91" w:name="n1613"/>
      <w:bookmarkEnd w:id="90"/>
      <w:bookmarkEnd w:id="91"/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запаси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матеріальних цінностей;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92" w:name="n1614"/>
      <w:bookmarkEnd w:id="92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основні засоби;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93" w:name="n2208"/>
      <w:bookmarkEnd w:id="93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активи з права користування, базовими активами яких є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матер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іальні активи;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94" w:name="n2209"/>
      <w:bookmarkStart w:id="95" w:name="n1615"/>
      <w:bookmarkEnd w:id="94"/>
      <w:bookmarkEnd w:id="95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інші активи банку;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96" w:name="n1616"/>
      <w:bookmarkEnd w:id="96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зобов'язання за всіма видами гарантій (акцептами, авалями);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97" w:name="n1617"/>
      <w:bookmarkEnd w:id="97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непокриті акредитиви;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98" w:name="n1618"/>
      <w:bookmarkEnd w:id="98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цінні папери до отримання за операціями андеррайтингу;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99" w:name="n1619"/>
      <w:bookmarkEnd w:id="99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інші зобов'язання, що надані клієнтам;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100" w:name="n1620"/>
      <w:bookmarkEnd w:id="100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нараховані доходи за активами, що віднесені до цієї групи активі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у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тому числі строк сплати яких згідно з договором минув;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101" w:name="n1621"/>
      <w:bookmarkEnd w:id="101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заборгованість за активами, у тому числі за нарахованими доходами за ними, що визначені у </w:t>
      </w:r>
      <w:proofErr w:type="gramStart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</w:t>
      </w:r>
      <w:proofErr w:type="gramEnd"/>
      <w:r w:rsidRPr="002D7258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ідпунктах "а" - "е" пункту 1.3 глави 1 розділу IV цієї Інструкції, строк сплати за якою згідно з договором минув.</w:t>
      </w:r>
    </w:p>
    <w:p w:rsidR="002D7258" w:rsidRPr="002D7258" w:rsidRDefault="002D7258" w:rsidP="002D72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102" w:name="n2361"/>
      <w:bookmarkStart w:id="103" w:name="_GoBack"/>
      <w:bookmarkEnd w:id="102"/>
      <w:bookmarkEnd w:id="103"/>
    </w:p>
    <w:p w:rsidR="001B12E8" w:rsidRPr="0087616E" w:rsidRDefault="001B12E8" w:rsidP="0087616E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sectPr w:rsidR="001B12E8" w:rsidRPr="008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51A4"/>
    <w:multiLevelType w:val="hybridMultilevel"/>
    <w:tmpl w:val="7840B0D4"/>
    <w:lvl w:ilvl="0" w:tplc="49DA9778">
      <w:numFmt w:val="bullet"/>
      <w:lvlText w:val=""/>
      <w:lvlJc w:val="left"/>
      <w:pPr>
        <w:ind w:left="107" w:hanging="176"/>
      </w:pPr>
      <w:rPr>
        <w:rFonts w:ascii="Symbol" w:eastAsia="Symbol" w:hAnsi="Symbol" w:cs="Symbol" w:hint="default"/>
        <w:w w:val="100"/>
        <w:sz w:val="23"/>
        <w:szCs w:val="23"/>
        <w:lang w:val="uk-UA" w:eastAsia="uk-UA" w:bidi="uk-UA"/>
      </w:rPr>
    </w:lvl>
    <w:lvl w:ilvl="1" w:tplc="435A40F0">
      <w:numFmt w:val="bullet"/>
      <w:lvlText w:val="•"/>
      <w:lvlJc w:val="left"/>
      <w:pPr>
        <w:ind w:left="765" w:hanging="176"/>
      </w:pPr>
      <w:rPr>
        <w:rFonts w:hint="default"/>
        <w:lang w:val="uk-UA" w:eastAsia="uk-UA" w:bidi="uk-UA"/>
      </w:rPr>
    </w:lvl>
    <w:lvl w:ilvl="2" w:tplc="A1C6A0CA">
      <w:numFmt w:val="bullet"/>
      <w:lvlText w:val="•"/>
      <w:lvlJc w:val="left"/>
      <w:pPr>
        <w:ind w:left="1430" w:hanging="176"/>
      </w:pPr>
      <w:rPr>
        <w:rFonts w:hint="default"/>
        <w:lang w:val="uk-UA" w:eastAsia="uk-UA" w:bidi="uk-UA"/>
      </w:rPr>
    </w:lvl>
    <w:lvl w:ilvl="3" w:tplc="E9E22458">
      <w:numFmt w:val="bullet"/>
      <w:lvlText w:val="•"/>
      <w:lvlJc w:val="left"/>
      <w:pPr>
        <w:ind w:left="2095" w:hanging="176"/>
      </w:pPr>
      <w:rPr>
        <w:rFonts w:hint="default"/>
        <w:lang w:val="uk-UA" w:eastAsia="uk-UA" w:bidi="uk-UA"/>
      </w:rPr>
    </w:lvl>
    <w:lvl w:ilvl="4" w:tplc="B0E4A3CA">
      <w:numFmt w:val="bullet"/>
      <w:lvlText w:val="•"/>
      <w:lvlJc w:val="left"/>
      <w:pPr>
        <w:ind w:left="2760" w:hanging="176"/>
      </w:pPr>
      <w:rPr>
        <w:rFonts w:hint="default"/>
        <w:lang w:val="uk-UA" w:eastAsia="uk-UA" w:bidi="uk-UA"/>
      </w:rPr>
    </w:lvl>
    <w:lvl w:ilvl="5" w:tplc="FA9245F4">
      <w:numFmt w:val="bullet"/>
      <w:lvlText w:val="•"/>
      <w:lvlJc w:val="left"/>
      <w:pPr>
        <w:ind w:left="3425" w:hanging="176"/>
      </w:pPr>
      <w:rPr>
        <w:rFonts w:hint="default"/>
        <w:lang w:val="uk-UA" w:eastAsia="uk-UA" w:bidi="uk-UA"/>
      </w:rPr>
    </w:lvl>
    <w:lvl w:ilvl="6" w:tplc="25B29990">
      <w:numFmt w:val="bullet"/>
      <w:lvlText w:val="•"/>
      <w:lvlJc w:val="left"/>
      <w:pPr>
        <w:ind w:left="4090" w:hanging="176"/>
      </w:pPr>
      <w:rPr>
        <w:rFonts w:hint="default"/>
        <w:lang w:val="uk-UA" w:eastAsia="uk-UA" w:bidi="uk-UA"/>
      </w:rPr>
    </w:lvl>
    <w:lvl w:ilvl="7" w:tplc="B0D6A07C">
      <w:numFmt w:val="bullet"/>
      <w:lvlText w:val="•"/>
      <w:lvlJc w:val="left"/>
      <w:pPr>
        <w:ind w:left="4755" w:hanging="176"/>
      </w:pPr>
      <w:rPr>
        <w:rFonts w:hint="default"/>
        <w:lang w:val="uk-UA" w:eastAsia="uk-UA" w:bidi="uk-UA"/>
      </w:rPr>
    </w:lvl>
    <w:lvl w:ilvl="8" w:tplc="1FC07E02">
      <w:numFmt w:val="bullet"/>
      <w:lvlText w:val="•"/>
      <w:lvlJc w:val="left"/>
      <w:pPr>
        <w:ind w:left="5420" w:hanging="176"/>
      </w:pPr>
      <w:rPr>
        <w:rFonts w:hint="default"/>
        <w:lang w:val="uk-UA" w:eastAsia="uk-UA" w:bidi="uk-UA"/>
      </w:rPr>
    </w:lvl>
  </w:abstractNum>
  <w:abstractNum w:abstractNumId="1">
    <w:nsid w:val="57E713D7"/>
    <w:multiLevelType w:val="hybridMultilevel"/>
    <w:tmpl w:val="86307276"/>
    <w:lvl w:ilvl="0" w:tplc="8DE4D052">
      <w:start w:val="1"/>
      <w:numFmt w:val="decimal"/>
      <w:lvlText w:val="%1."/>
      <w:lvlJc w:val="left"/>
      <w:pPr>
        <w:ind w:left="107" w:hanging="237"/>
      </w:pPr>
      <w:rPr>
        <w:rFonts w:ascii="Times New Roman" w:eastAsia="Times New Roman" w:hAnsi="Times New Roman" w:cs="Times New Roman" w:hint="default"/>
        <w:i/>
        <w:w w:val="100"/>
        <w:sz w:val="23"/>
        <w:szCs w:val="23"/>
        <w:lang w:val="uk-UA" w:eastAsia="uk-UA" w:bidi="uk-UA"/>
      </w:rPr>
    </w:lvl>
    <w:lvl w:ilvl="1" w:tplc="774C2D7E">
      <w:numFmt w:val="bullet"/>
      <w:lvlText w:val="•"/>
      <w:lvlJc w:val="left"/>
      <w:pPr>
        <w:ind w:left="765" w:hanging="237"/>
      </w:pPr>
      <w:rPr>
        <w:rFonts w:hint="default"/>
        <w:lang w:val="uk-UA" w:eastAsia="uk-UA" w:bidi="uk-UA"/>
      </w:rPr>
    </w:lvl>
    <w:lvl w:ilvl="2" w:tplc="817E43C2">
      <w:numFmt w:val="bullet"/>
      <w:lvlText w:val="•"/>
      <w:lvlJc w:val="left"/>
      <w:pPr>
        <w:ind w:left="1430" w:hanging="237"/>
      </w:pPr>
      <w:rPr>
        <w:rFonts w:hint="default"/>
        <w:lang w:val="uk-UA" w:eastAsia="uk-UA" w:bidi="uk-UA"/>
      </w:rPr>
    </w:lvl>
    <w:lvl w:ilvl="3" w:tplc="B462BE50">
      <w:numFmt w:val="bullet"/>
      <w:lvlText w:val="•"/>
      <w:lvlJc w:val="left"/>
      <w:pPr>
        <w:ind w:left="2095" w:hanging="237"/>
      </w:pPr>
      <w:rPr>
        <w:rFonts w:hint="default"/>
        <w:lang w:val="uk-UA" w:eastAsia="uk-UA" w:bidi="uk-UA"/>
      </w:rPr>
    </w:lvl>
    <w:lvl w:ilvl="4" w:tplc="88E084E6">
      <w:numFmt w:val="bullet"/>
      <w:lvlText w:val="•"/>
      <w:lvlJc w:val="left"/>
      <w:pPr>
        <w:ind w:left="2760" w:hanging="237"/>
      </w:pPr>
      <w:rPr>
        <w:rFonts w:hint="default"/>
        <w:lang w:val="uk-UA" w:eastAsia="uk-UA" w:bidi="uk-UA"/>
      </w:rPr>
    </w:lvl>
    <w:lvl w:ilvl="5" w:tplc="13A85E80">
      <w:numFmt w:val="bullet"/>
      <w:lvlText w:val="•"/>
      <w:lvlJc w:val="left"/>
      <w:pPr>
        <w:ind w:left="3425" w:hanging="237"/>
      </w:pPr>
      <w:rPr>
        <w:rFonts w:hint="default"/>
        <w:lang w:val="uk-UA" w:eastAsia="uk-UA" w:bidi="uk-UA"/>
      </w:rPr>
    </w:lvl>
    <w:lvl w:ilvl="6" w:tplc="EEC8265C">
      <w:numFmt w:val="bullet"/>
      <w:lvlText w:val="•"/>
      <w:lvlJc w:val="left"/>
      <w:pPr>
        <w:ind w:left="4090" w:hanging="237"/>
      </w:pPr>
      <w:rPr>
        <w:rFonts w:hint="default"/>
        <w:lang w:val="uk-UA" w:eastAsia="uk-UA" w:bidi="uk-UA"/>
      </w:rPr>
    </w:lvl>
    <w:lvl w:ilvl="7" w:tplc="1160DD06">
      <w:numFmt w:val="bullet"/>
      <w:lvlText w:val="•"/>
      <w:lvlJc w:val="left"/>
      <w:pPr>
        <w:ind w:left="4755" w:hanging="237"/>
      </w:pPr>
      <w:rPr>
        <w:rFonts w:hint="default"/>
        <w:lang w:val="uk-UA" w:eastAsia="uk-UA" w:bidi="uk-UA"/>
      </w:rPr>
    </w:lvl>
    <w:lvl w:ilvl="8" w:tplc="B7C0BF74">
      <w:numFmt w:val="bullet"/>
      <w:lvlText w:val="•"/>
      <w:lvlJc w:val="left"/>
      <w:pPr>
        <w:ind w:left="5420" w:hanging="237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AA"/>
    <w:rsid w:val="001B12E8"/>
    <w:rsid w:val="002D7258"/>
    <w:rsid w:val="00844FBC"/>
    <w:rsid w:val="0087616E"/>
    <w:rsid w:val="00A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56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2020-11-09T08:12:00Z</dcterms:created>
  <dcterms:modified xsi:type="dcterms:W3CDTF">2020-11-09T08:12:00Z</dcterms:modified>
</cp:coreProperties>
</file>