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6D" w:rsidRPr="007626B1" w:rsidRDefault="007626B1" w:rsidP="00100711">
      <w:pPr>
        <w:pBdr>
          <w:bottom w:val="single" w:sz="18" w:space="3" w:color="808080"/>
        </w:pBd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ТЕМА 2</w:t>
      </w:r>
      <w:r w:rsidRPr="00100711">
        <w:rPr>
          <w:b/>
          <w:sz w:val="28"/>
          <w:szCs w:val="28"/>
          <w:lang w:val="ru-RU"/>
        </w:rPr>
        <w:t xml:space="preserve">  </w:t>
      </w:r>
      <w:r w:rsidRPr="007626B1">
        <w:rPr>
          <w:b/>
          <w:sz w:val="28"/>
          <w:szCs w:val="28"/>
          <w:lang w:val="ru-RU"/>
        </w:rPr>
        <w:t xml:space="preserve">КЛАСИФІКАЦІЯ РИЗИКІВ </w:t>
      </w:r>
      <w:proofErr w:type="gramStart"/>
      <w:r w:rsidRPr="007626B1">
        <w:rPr>
          <w:b/>
          <w:sz w:val="28"/>
          <w:szCs w:val="28"/>
          <w:lang w:val="ru-RU"/>
        </w:rPr>
        <w:t>П</w:t>
      </w:r>
      <w:proofErr w:type="gramEnd"/>
      <w:r w:rsidRPr="007626B1">
        <w:rPr>
          <w:b/>
          <w:sz w:val="28"/>
          <w:szCs w:val="28"/>
          <w:lang w:val="ru-RU"/>
        </w:rPr>
        <w:t>ІДПРИЄМНИЦЬКОЇ ДІЯЛЬНОСТІ.</w:t>
      </w:r>
    </w:p>
    <w:p w:rsidR="0003257B" w:rsidRDefault="0003257B" w:rsidP="001007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</w:t>
      </w:r>
    </w:p>
    <w:p w:rsidR="0003257B" w:rsidRPr="00100711" w:rsidRDefault="0003257B" w:rsidP="0003257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2.1</w:t>
      </w:r>
      <w:r w:rsidRPr="00100711">
        <w:rPr>
          <w:b/>
          <w:i/>
          <w:sz w:val="28"/>
          <w:szCs w:val="28"/>
        </w:rPr>
        <w:t xml:space="preserve"> Загальні засади класифікації ризику</w:t>
      </w:r>
    </w:p>
    <w:p w:rsidR="0003257B" w:rsidRPr="00100711" w:rsidRDefault="0003257B" w:rsidP="0003257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2.2</w:t>
      </w:r>
      <w:r w:rsidRPr="00100711">
        <w:rPr>
          <w:b/>
          <w:i/>
          <w:sz w:val="28"/>
          <w:szCs w:val="28"/>
        </w:rPr>
        <w:t xml:space="preserve"> Політичний ризик</w:t>
      </w:r>
    </w:p>
    <w:p w:rsidR="0003257B" w:rsidRPr="00100711" w:rsidRDefault="0003257B" w:rsidP="0003257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2.3</w:t>
      </w:r>
      <w:r w:rsidRPr="00100711">
        <w:rPr>
          <w:b/>
          <w:i/>
          <w:sz w:val="28"/>
          <w:szCs w:val="28"/>
        </w:rPr>
        <w:t xml:space="preserve"> Виробничий ризик</w:t>
      </w:r>
    </w:p>
    <w:p w:rsidR="0003257B" w:rsidRPr="0003257B" w:rsidRDefault="0003257B" w:rsidP="0003257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3257B">
        <w:rPr>
          <w:b/>
          <w:i/>
          <w:sz w:val="28"/>
          <w:szCs w:val="28"/>
        </w:rPr>
        <w:t>2.4 Комерційний ризик</w:t>
      </w:r>
    </w:p>
    <w:p w:rsidR="0003257B" w:rsidRPr="00100711" w:rsidRDefault="0003257B" w:rsidP="0003257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2.5</w:t>
      </w:r>
      <w:r w:rsidRPr="00100711">
        <w:rPr>
          <w:b/>
          <w:i/>
          <w:sz w:val="28"/>
          <w:szCs w:val="28"/>
        </w:rPr>
        <w:t xml:space="preserve"> Фінансовий ризик</w:t>
      </w:r>
    </w:p>
    <w:p w:rsidR="0003257B" w:rsidRPr="00100711" w:rsidRDefault="0003257B" w:rsidP="0003257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2.6</w:t>
      </w:r>
      <w:r w:rsidRPr="00100711">
        <w:rPr>
          <w:b/>
          <w:i/>
          <w:sz w:val="28"/>
          <w:szCs w:val="28"/>
        </w:rPr>
        <w:t xml:space="preserve"> Інноваційний ризик</w:t>
      </w:r>
    </w:p>
    <w:p w:rsidR="0003257B" w:rsidRDefault="0003257B" w:rsidP="001007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81E6D" w:rsidRPr="00100711" w:rsidRDefault="0003257B" w:rsidP="0010071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2.1</w:t>
      </w:r>
      <w:r w:rsidR="00A164F0" w:rsidRPr="00100711">
        <w:rPr>
          <w:b/>
          <w:i/>
          <w:sz w:val="28"/>
          <w:szCs w:val="28"/>
        </w:rPr>
        <w:t xml:space="preserve"> Загальні засади класифікації ризику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Тенденція до ускладнення соціально-економічних процесів породжує появу все нових видів і типів ризику.</w:t>
      </w:r>
    </w:p>
    <w:p w:rsidR="00E81E6D" w:rsidRPr="00100711" w:rsidRDefault="00A164F0" w:rsidP="00100711">
      <w:pPr>
        <w:pStyle w:val="a6"/>
        <w:spacing w:line="360" w:lineRule="auto"/>
        <w:ind w:firstLine="709"/>
        <w:rPr>
          <w:spacing w:val="-6"/>
          <w:sz w:val="28"/>
          <w:szCs w:val="28"/>
        </w:rPr>
      </w:pPr>
      <w:r w:rsidRPr="00100711">
        <w:rPr>
          <w:spacing w:val="-6"/>
          <w:sz w:val="28"/>
          <w:szCs w:val="28"/>
        </w:rPr>
        <w:t>Ризик, як правило, поділяють на два типи — динамічний і статичний.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z w:val="28"/>
          <w:szCs w:val="28"/>
        </w:rPr>
        <w:t>Динамічний ризик</w:t>
      </w:r>
      <w:r w:rsidRPr="00100711">
        <w:rPr>
          <w:sz w:val="28"/>
          <w:szCs w:val="28"/>
        </w:rPr>
        <w:t xml:space="preserve"> — це ризик, пов’язаний з непередбачуваними (н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детермінованими) змінами вартості основного капіталу внаслідок прийня</w:t>
      </w:r>
      <w:r w:rsidRPr="00100711">
        <w:rPr>
          <w:sz w:val="28"/>
          <w:szCs w:val="28"/>
        </w:rPr>
        <w:t>т</w:t>
      </w:r>
      <w:r w:rsidRPr="00100711">
        <w:rPr>
          <w:sz w:val="28"/>
          <w:szCs w:val="28"/>
        </w:rPr>
        <w:t xml:space="preserve">тя управлінських рішень або непередбачуваними зсувами у ринкових чи політичних реаліях. Такі зміни можуть призвести як до збитків, так і до додаткових прибутків. 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z w:val="28"/>
          <w:szCs w:val="28"/>
        </w:rPr>
        <w:t>Статичний ризик</w:t>
      </w:r>
      <w:r w:rsidRPr="00100711">
        <w:rPr>
          <w:sz w:val="28"/>
          <w:szCs w:val="28"/>
        </w:rPr>
        <w:t xml:space="preserve"> — це ризик, пов’язаний зі скороченням реальних активів внаслідок втрати частки власності, а також із скороченням доходу через недієздатність організації. Цей ризик може призвести лише до зби</w:t>
      </w:r>
      <w:r w:rsidRPr="00100711">
        <w:rPr>
          <w:sz w:val="28"/>
          <w:szCs w:val="28"/>
        </w:rPr>
        <w:t>т</w:t>
      </w:r>
      <w:r w:rsidRPr="00100711">
        <w:rPr>
          <w:sz w:val="28"/>
          <w:szCs w:val="28"/>
        </w:rPr>
        <w:t>ків.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Видове різноманіття ризиків дуже велике — від пожеж і стихійних лих до міжнаціональних конфліктів, змін у законодавстві, що регулює ек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номічну та підприємницьку діяльність, інфляційних коливань тощо.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В економічній літературі, присвяченій проблемам класифікації риз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ку, на наш погляд, ще немає чіткої системи класифікації ризиків. Існує н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зка підходів до цього. Очевидно чинником ризику є все оточуюче нас д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вкілля, а також усі елементи об’єкта дослідження як складної економіко-</w:t>
      </w:r>
      <w:r w:rsidRPr="00100711">
        <w:rPr>
          <w:sz w:val="28"/>
          <w:szCs w:val="28"/>
        </w:rPr>
        <w:lastRenderedPageBreak/>
        <w:t>кібернетичної системи (джерелами ризику є всі елементи системи, її прямі та зворотні зв’язки).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00711">
        <w:rPr>
          <w:spacing w:val="-2"/>
          <w:sz w:val="28"/>
          <w:szCs w:val="28"/>
        </w:rPr>
        <w:t xml:space="preserve">Певний інтерес становить класифікація ризику, здійснена відомим економістом Й. </w:t>
      </w:r>
      <w:proofErr w:type="spellStart"/>
      <w:r w:rsidRPr="00100711">
        <w:rPr>
          <w:spacing w:val="-2"/>
          <w:sz w:val="28"/>
          <w:szCs w:val="28"/>
        </w:rPr>
        <w:t>Шумпетером</w:t>
      </w:r>
      <w:proofErr w:type="spellEnd"/>
      <w:r w:rsidR="0003257B">
        <w:rPr>
          <w:spacing w:val="-2"/>
          <w:sz w:val="28"/>
          <w:szCs w:val="28"/>
        </w:rPr>
        <w:t xml:space="preserve">, </w:t>
      </w:r>
      <w:r w:rsidRPr="00100711">
        <w:rPr>
          <w:spacing w:val="-2"/>
          <w:sz w:val="28"/>
          <w:szCs w:val="28"/>
        </w:rPr>
        <w:t xml:space="preserve"> який виокремлює два види ризику:</w:t>
      </w:r>
    </w:p>
    <w:p w:rsidR="00E81E6D" w:rsidRPr="00100711" w:rsidRDefault="00A164F0" w:rsidP="00100711">
      <w:pPr>
        <w:numPr>
          <w:ilvl w:val="0"/>
          <w:numId w:val="20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можливим технічним провалом виробни</w:t>
      </w:r>
      <w:r w:rsidRPr="00100711">
        <w:rPr>
          <w:sz w:val="28"/>
          <w:szCs w:val="28"/>
        </w:rPr>
        <w:t>ц</w:t>
      </w:r>
      <w:r w:rsidRPr="00100711">
        <w:rPr>
          <w:sz w:val="28"/>
          <w:szCs w:val="28"/>
        </w:rPr>
        <w:t>тва. Сюди він відносить також загрозу втрати благ, пожежі, пошкодження, зумовлені стихійними лихами;</w:t>
      </w:r>
    </w:p>
    <w:p w:rsidR="00E81E6D" w:rsidRPr="00100711" w:rsidRDefault="00A164F0" w:rsidP="00100711">
      <w:pPr>
        <w:numPr>
          <w:ilvl w:val="0"/>
          <w:numId w:val="20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відсутністю комерційного успіху.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Класифікують ризики і за такими ознаками:</w:t>
      </w:r>
    </w:p>
    <w:p w:rsidR="00E81E6D" w:rsidRPr="00100711" w:rsidRDefault="00A164F0" w:rsidP="00100711">
      <w:pPr>
        <w:numPr>
          <w:ilvl w:val="0"/>
          <w:numId w:val="21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господарською діяльністю;</w:t>
      </w:r>
    </w:p>
    <w:p w:rsidR="00E81E6D" w:rsidRPr="00100711" w:rsidRDefault="00A164F0" w:rsidP="00100711">
      <w:pPr>
        <w:numPr>
          <w:ilvl w:val="0"/>
          <w:numId w:val="21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особистістю підприємця;</w:t>
      </w:r>
    </w:p>
    <w:p w:rsidR="00E81E6D" w:rsidRPr="00100711" w:rsidRDefault="00A164F0" w:rsidP="00100711">
      <w:pPr>
        <w:numPr>
          <w:ilvl w:val="0"/>
          <w:numId w:val="21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неповною інформацією щодо стану довкі</w:t>
      </w:r>
      <w:r w:rsidRPr="00100711">
        <w:rPr>
          <w:sz w:val="28"/>
          <w:szCs w:val="28"/>
        </w:rPr>
        <w:t>л</w:t>
      </w:r>
      <w:r w:rsidRPr="00100711">
        <w:rPr>
          <w:sz w:val="28"/>
          <w:szCs w:val="28"/>
        </w:rPr>
        <w:t>ля.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Зокрема, серед груп ризиків наведено такі: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00711">
        <w:rPr>
          <w:sz w:val="28"/>
          <w:szCs w:val="28"/>
        </w:rPr>
        <w:t>країнні</w:t>
      </w:r>
      <w:proofErr w:type="spellEnd"/>
      <w:r w:rsidRPr="00100711">
        <w:rPr>
          <w:sz w:val="28"/>
          <w:szCs w:val="28"/>
        </w:rPr>
        <w:t xml:space="preserve"> ризики (політичні та макроекономічні);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маркетингові ризики;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транспортні ризики;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визначення предмета угоди;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умови кількості;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умови якості;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умови упаковки та маркування;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умови ціни;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умови постачання;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валютно-фінансових умов контракту;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умов форс-мажорних обставин;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 визначення умов розгляду арбітражу;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комерційні ризики;</w:t>
      </w:r>
    </w:p>
    <w:p w:rsidR="00E81E6D" w:rsidRPr="00100711" w:rsidRDefault="00A164F0" w:rsidP="00100711">
      <w:pPr>
        <w:numPr>
          <w:ilvl w:val="0"/>
          <w:numId w:val="22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ризики, пов’язані з процесом митного оформлення тощо.</w:t>
      </w:r>
    </w:p>
    <w:p w:rsidR="00E81E6D" w:rsidRPr="00100711" w:rsidRDefault="00A164F0" w:rsidP="00100711">
      <w:pPr>
        <w:pStyle w:val="a6"/>
        <w:spacing w:line="360" w:lineRule="auto"/>
        <w:ind w:firstLine="709"/>
        <w:rPr>
          <w:spacing w:val="-6"/>
          <w:sz w:val="28"/>
          <w:szCs w:val="28"/>
        </w:rPr>
      </w:pPr>
      <w:r w:rsidRPr="00100711">
        <w:rPr>
          <w:spacing w:val="-6"/>
          <w:sz w:val="28"/>
          <w:szCs w:val="28"/>
        </w:rPr>
        <w:t>У низці наукових праць запропонов</w:t>
      </w:r>
      <w:r w:rsidR="0003257B">
        <w:rPr>
          <w:spacing w:val="-6"/>
          <w:sz w:val="28"/>
          <w:szCs w:val="28"/>
        </w:rPr>
        <w:t>ано таку класифікацію ризик</w:t>
      </w:r>
      <w:r w:rsidRPr="00100711">
        <w:rPr>
          <w:spacing w:val="-6"/>
          <w:sz w:val="28"/>
          <w:szCs w:val="28"/>
        </w:rPr>
        <w:t>: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за масштабами та обсягами (глобальний, локальний);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за аспектами (психологічний, соціальний, економічний, екол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 xml:space="preserve">гічний, юридичний, політичний, медико-біологічний); 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за мірою об’єктивності та суб’єктивності (з об’єктивною йм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вірністю, з суб’єктивною ймовірністю, з об’єктивно-суб’єктивною ймові</w:t>
      </w:r>
      <w:r w:rsidRPr="00100711">
        <w:rPr>
          <w:sz w:val="28"/>
          <w:szCs w:val="28"/>
        </w:rPr>
        <w:t>р</w:t>
      </w:r>
      <w:r w:rsidRPr="00100711">
        <w:rPr>
          <w:sz w:val="28"/>
          <w:szCs w:val="28"/>
        </w:rPr>
        <w:t>ністю);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00711">
        <w:rPr>
          <w:sz w:val="28"/>
          <w:szCs w:val="28"/>
        </w:rPr>
        <w:t xml:space="preserve">за ступенем (мірою) </w:t>
      </w:r>
      <w:proofErr w:type="spellStart"/>
      <w:r w:rsidRPr="00100711">
        <w:rPr>
          <w:sz w:val="28"/>
          <w:szCs w:val="28"/>
        </w:rPr>
        <w:t>ризиконасиченості</w:t>
      </w:r>
      <w:proofErr w:type="spellEnd"/>
      <w:r w:rsidRPr="00100711">
        <w:rPr>
          <w:sz w:val="28"/>
          <w:szCs w:val="28"/>
        </w:rPr>
        <w:t xml:space="preserve"> рішень (мінімальний, </w:t>
      </w:r>
      <w:r w:rsidRPr="00100711">
        <w:rPr>
          <w:spacing w:val="-4"/>
          <w:sz w:val="28"/>
          <w:szCs w:val="28"/>
        </w:rPr>
        <w:t>середній, оптимальний або ж допустимий, критичний, катастрофічний);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за мірою обґрунтованості ризику (раціональний, нераціонал</w:t>
      </w:r>
      <w:r w:rsidRPr="00100711">
        <w:rPr>
          <w:sz w:val="28"/>
          <w:szCs w:val="28"/>
        </w:rPr>
        <w:t>ь</w:t>
      </w:r>
      <w:r w:rsidRPr="00100711">
        <w:rPr>
          <w:sz w:val="28"/>
          <w:szCs w:val="28"/>
        </w:rPr>
        <w:t>ний, авантюрний);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за терміном оцінки та урахування ризику (випереджаючий, своєчасний, запізнілий);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за чисельністю осіб, які беруть участь у прийнятті рішень (і</w:t>
      </w:r>
      <w:r w:rsidRPr="00100711">
        <w:rPr>
          <w:sz w:val="28"/>
          <w:szCs w:val="28"/>
        </w:rPr>
        <w:t>н</w:t>
      </w:r>
      <w:r w:rsidRPr="00100711">
        <w:rPr>
          <w:sz w:val="28"/>
          <w:szCs w:val="28"/>
        </w:rPr>
        <w:t>дивідуальний, груповий, колективний);</w:t>
      </w:r>
    </w:p>
    <w:p w:rsidR="00E81E6D" w:rsidRPr="00100711" w:rsidRDefault="00A164F0" w:rsidP="00100711">
      <w:pPr>
        <w:numPr>
          <w:ilvl w:val="0"/>
          <w:numId w:val="23"/>
        </w:numPr>
        <w:tabs>
          <w:tab w:val="num" w:pos="51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00711">
        <w:rPr>
          <w:spacing w:val="-2"/>
          <w:sz w:val="28"/>
          <w:szCs w:val="28"/>
        </w:rPr>
        <w:t>за ситуаційним класом джерел (в умовах невизначеності, в ум</w:t>
      </w:r>
      <w:r w:rsidRPr="00100711">
        <w:rPr>
          <w:spacing w:val="-2"/>
          <w:sz w:val="28"/>
          <w:szCs w:val="28"/>
        </w:rPr>
        <w:t>о</w:t>
      </w:r>
      <w:r w:rsidRPr="00100711">
        <w:rPr>
          <w:spacing w:val="-2"/>
          <w:sz w:val="28"/>
          <w:szCs w:val="28"/>
        </w:rPr>
        <w:t>вах конфлікту (конкуренції), в умовах розпливчастості (нечіткості)).</w:t>
      </w:r>
    </w:p>
    <w:p w:rsidR="00E81E6D" w:rsidRPr="00100711" w:rsidRDefault="00A164F0" w:rsidP="00100711">
      <w:pPr>
        <w:pStyle w:val="a6"/>
        <w:spacing w:line="360" w:lineRule="auto"/>
        <w:ind w:firstLine="709"/>
        <w:rPr>
          <w:spacing w:val="-2"/>
          <w:sz w:val="28"/>
          <w:szCs w:val="28"/>
        </w:rPr>
      </w:pPr>
      <w:r w:rsidRPr="00100711">
        <w:rPr>
          <w:spacing w:val="-2"/>
          <w:sz w:val="28"/>
          <w:szCs w:val="28"/>
        </w:rPr>
        <w:t>Кожний вид ризику, в свою чергу, доцільно детально розкласти на елементи, проаналізувати, змоделювати, урахувати, що дасть змогу певною мірою зменшити ступінь невизначеності та її руйнівні дії.</w:t>
      </w:r>
    </w:p>
    <w:p w:rsidR="00E81E6D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Для прикладу проаналізуємо деякі види ризиків.</w:t>
      </w:r>
    </w:p>
    <w:p w:rsidR="0003257B" w:rsidRPr="00100711" w:rsidRDefault="0003257B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E81E6D" w:rsidRPr="00100711" w:rsidRDefault="0003257B" w:rsidP="0010071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2.2</w:t>
      </w:r>
      <w:r w:rsidR="00A164F0" w:rsidRPr="00100711">
        <w:rPr>
          <w:b/>
          <w:i/>
          <w:sz w:val="28"/>
          <w:szCs w:val="28"/>
        </w:rPr>
        <w:t xml:space="preserve"> Політичний ризик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z w:val="28"/>
          <w:szCs w:val="28"/>
        </w:rPr>
        <w:t>Політичний ризик</w:t>
      </w:r>
      <w:r w:rsidRPr="00100711">
        <w:rPr>
          <w:sz w:val="28"/>
          <w:szCs w:val="28"/>
        </w:rPr>
        <w:t xml:space="preserve"> — це можливість виникнення збитків чи скор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чення обсягу прибутку внаслідок державної політики. Політичний ризик зумовлений можливими змінами курсу, зсувами пріоритетів на урядовому рівні. Його врахування є особливо актуальним у країнах з неусталеним з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конодавством, з відсутністю традицій і загальної культури підприємниц</w:t>
      </w:r>
      <w:r w:rsidRPr="00100711">
        <w:rPr>
          <w:sz w:val="28"/>
          <w:szCs w:val="28"/>
        </w:rPr>
        <w:t>т</w:t>
      </w:r>
      <w:r w:rsidRPr="00100711">
        <w:rPr>
          <w:sz w:val="28"/>
          <w:szCs w:val="28"/>
        </w:rPr>
        <w:t>ва.</w:t>
      </w:r>
    </w:p>
    <w:p w:rsidR="00E81E6D" w:rsidRPr="00100711" w:rsidRDefault="00A164F0" w:rsidP="00100711">
      <w:pPr>
        <w:pStyle w:val="a6"/>
        <w:spacing w:line="360" w:lineRule="auto"/>
        <w:ind w:firstLine="709"/>
        <w:rPr>
          <w:spacing w:val="-2"/>
          <w:sz w:val="28"/>
          <w:szCs w:val="28"/>
        </w:rPr>
      </w:pPr>
      <w:r w:rsidRPr="00100711">
        <w:rPr>
          <w:spacing w:val="-2"/>
          <w:sz w:val="28"/>
          <w:szCs w:val="28"/>
        </w:rPr>
        <w:t>Політичний ризик притаманний підприємницькій діяльності і його неможливо уникнути. Його можна лише прогнозувати й враховувати.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Слід зазначити, що спроби врахування політичного ризику, зумовл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 xml:space="preserve">ного діями окремих державних діячів чи урядів, відносяться ще до ХІХ ст. Скажімо, відомий банкір </w:t>
      </w:r>
      <w:proofErr w:type="spellStart"/>
      <w:r w:rsidRPr="00100711">
        <w:rPr>
          <w:sz w:val="28"/>
          <w:szCs w:val="28"/>
        </w:rPr>
        <w:t>Ротшільд</w:t>
      </w:r>
      <w:proofErr w:type="spellEnd"/>
      <w:r w:rsidRPr="00100711">
        <w:rPr>
          <w:sz w:val="28"/>
          <w:szCs w:val="28"/>
        </w:rPr>
        <w:t xml:space="preserve"> так організовував систему інформації про політичні події, що отримував повідомлення про них на кілька днів раніше, ніж уряд. 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Про важливість урахування політичного ризику в підприємницькій діяльності свідчить і те, що для аналізу й оцінювання політичного ризику створена світова мережа спеціалізованих аналітичних центрів як коме</w:t>
      </w:r>
      <w:r w:rsidRPr="00100711">
        <w:rPr>
          <w:sz w:val="28"/>
          <w:szCs w:val="28"/>
        </w:rPr>
        <w:t>р</w:t>
      </w:r>
      <w:r w:rsidRPr="00100711">
        <w:rPr>
          <w:sz w:val="28"/>
          <w:szCs w:val="28"/>
        </w:rPr>
        <w:t>ційного, так і некомерційного характеру. У розвинутих країнах нарахов</w:t>
      </w:r>
      <w:r w:rsidRPr="00100711">
        <w:rPr>
          <w:sz w:val="28"/>
          <w:szCs w:val="28"/>
        </w:rPr>
        <w:t>у</w:t>
      </w:r>
      <w:r w:rsidRPr="00100711">
        <w:rPr>
          <w:sz w:val="28"/>
          <w:szCs w:val="28"/>
        </w:rPr>
        <w:t>ється понад 500 таких центрів.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Політичні ризики можна розподілити на чотири групи:</w:t>
      </w:r>
    </w:p>
    <w:p w:rsidR="00E81E6D" w:rsidRPr="00100711" w:rsidRDefault="00A164F0" w:rsidP="00100711">
      <w:pPr>
        <w:numPr>
          <w:ilvl w:val="0"/>
          <w:numId w:val="24"/>
        </w:numPr>
        <w:tabs>
          <w:tab w:val="num" w:pos="51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00711">
        <w:rPr>
          <w:spacing w:val="-4"/>
          <w:sz w:val="28"/>
          <w:szCs w:val="28"/>
        </w:rPr>
        <w:t>ризик націоналізації та експропріації без адекватної компенсації;</w:t>
      </w:r>
    </w:p>
    <w:p w:rsidR="00E81E6D" w:rsidRPr="00100711" w:rsidRDefault="00A164F0" w:rsidP="00100711">
      <w:pPr>
        <w:numPr>
          <w:ilvl w:val="0"/>
          <w:numId w:val="24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 трансферту, зумовлений можливими обмеженнями та конвертацією місцевої валюти;</w:t>
      </w:r>
    </w:p>
    <w:p w:rsidR="00E81E6D" w:rsidRPr="00100711" w:rsidRDefault="00A164F0" w:rsidP="00100711">
      <w:pPr>
        <w:numPr>
          <w:ilvl w:val="0"/>
          <w:numId w:val="24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 розірвання контракту внаслідок дій владних структур країни, у якій знаходиться компанія-контрагент;</w:t>
      </w:r>
    </w:p>
    <w:p w:rsidR="00E81E6D" w:rsidRPr="00100711" w:rsidRDefault="00A164F0" w:rsidP="00100711">
      <w:pPr>
        <w:numPr>
          <w:ilvl w:val="0"/>
          <w:numId w:val="24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 військових дій і громадських заворушень тощо.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 xml:space="preserve">Політичні ризики умовно можна розподілити також на </w:t>
      </w:r>
      <w:proofErr w:type="spellStart"/>
      <w:r w:rsidRPr="00100711">
        <w:rPr>
          <w:sz w:val="28"/>
          <w:szCs w:val="28"/>
        </w:rPr>
        <w:t>країнний</w:t>
      </w:r>
      <w:proofErr w:type="spellEnd"/>
      <w:r w:rsidRPr="00100711">
        <w:rPr>
          <w:sz w:val="28"/>
          <w:szCs w:val="28"/>
        </w:rPr>
        <w:t>, р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гіональний, міжнародний.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Оскільки на політичні ризики підприємець безпосереднього впливу не має, то їх слід віднести до групи зовнішніх ризиків.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81E6D" w:rsidRPr="00100711" w:rsidRDefault="0003257B" w:rsidP="0010071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2.3</w:t>
      </w:r>
      <w:r w:rsidR="00A164F0" w:rsidRPr="00100711">
        <w:rPr>
          <w:b/>
          <w:i/>
          <w:sz w:val="28"/>
          <w:szCs w:val="28"/>
        </w:rPr>
        <w:t xml:space="preserve"> Виробничий ризик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E81E6D" w:rsidRPr="00100711" w:rsidRDefault="00A164F0" w:rsidP="00100711">
      <w:pPr>
        <w:pStyle w:val="a6"/>
        <w:spacing w:line="360" w:lineRule="auto"/>
        <w:ind w:firstLine="709"/>
        <w:rPr>
          <w:spacing w:val="-2"/>
          <w:sz w:val="28"/>
          <w:szCs w:val="28"/>
          <w:lang w:val="en-US"/>
        </w:rPr>
      </w:pPr>
      <w:r w:rsidRPr="00100711">
        <w:rPr>
          <w:spacing w:val="-2"/>
          <w:sz w:val="28"/>
          <w:szCs w:val="28"/>
        </w:rPr>
        <w:t>Цей ризик пов’язаний з виробництвом продукції, товарів і послуг; із здійсненням будь-яких видів виробничої діяльності, в процесі якої підпри</w:t>
      </w:r>
      <w:r w:rsidRPr="00100711">
        <w:rPr>
          <w:spacing w:val="-2"/>
          <w:sz w:val="28"/>
          <w:szCs w:val="28"/>
        </w:rPr>
        <w:t>є</w:t>
      </w:r>
      <w:r w:rsidRPr="00100711">
        <w:rPr>
          <w:spacing w:val="-2"/>
          <w:sz w:val="28"/>
          <w:szCs w:val="28"/>
        </w:rPr>
        <w:t>мці стикаються з проблемами неадекватного використання сировини, пі</w:t>
      </w:r>
      <w:r w:rsidRPr="00100711">
        <w:rPr>
          <w:spacing w:val="-2"/>
          <w:sz w:val="28"/>
          <w:szCs w:val="28"/>
        </w:rPr>
        <w:t>д</w:t>
      </w:r>
      <w:r w:rsidRPr="00100711">
        <w:rPr>
          <w:spacing w:val="-2"/>
          <w:sz w:val="28"/>
          <w:szCs w:val="28"/>
        </w:rPr>
        <w:t>вищенням собівартості, збільшенням втрат робочого часу, неефективним використанням нових методів виробництва.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До основних причин, що зумовлюють економічний ризик, можна в</w:t>
      </w:r>
      <w:r w:rsidRPr="00100711">
        <w:rPr>
          <w:sz w:val="28"/>
          <w:szCs w:val="28"/>
        </w:rPr>
        <w:t>і</w:t>
      </w:r>
      <w:r w:rsidRPr="00100711">
        <w:rPr>
          <w:sz w:val="28"/>
          <w:szCs w:val="28"/>
        </w:rPr>
        <w:t xml:space="preserve">днести: </w:t>
      </w:r>
    </w:p>
    <w:p w:rsidR="00E81E6D" w:rsidRPr="00100711" w:rsidRDefault="00A164F0" w:rsidP="00100711">
      <w:pPr>
        <w:numPr>
          <w:ilvl w:val="0"/>
          <w:numId w:val="25"/>
        </w:numPr>
        <w:tabs>
          <w:tab w:val="num" w:pos="510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00711">
        <w:rPr>
          <w:spacing w:val="-4"/>
          <w:sz w:val="28"/>
          <w:szCs w:val="28"/>
        </w:rPr>
        <w:t>зниження намічених обсягів виробництва та реалізації продукції внаслідок спаду продуктивності праці, простоїв обладнання, втрат робочого часу, відсутності в потрібний момент часу необхідної кількості матеріалів та комплектуючих, підвищення відсотка браку;</w:t>
      </w:r>
    </w:p>
    <w:p w:rsidR="00E81E6D" w:rsidRPr="00100711" w:rsidRDefault="00A164F0" w:rsidP="00100711">
      <w:pPr>
        <w:numPr>
          <w:ilvl w:val="0"/>
          <w:numId w:val="25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зниження цін, згідно з якими планувалося реалізовувати пр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дукцію та послуги, у зв’язку з їхньою недостатньою якістю, несприятл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вими змінами у ринковій кон’юнктурі тощо;</w:t>
      </w:r>
    </w:p>
    <w:p w:rsidR="00E81E6D" w:rsidRPr="00100711" w:rsidRDefault="00A164F0" w:rsidP="00100711">
      <w:pPr>
        <w:numPr>
          <w:ilvl w:val="0"/>
          <w:numId w:val="25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збільшення питомої ваги затрат матеріальних, енергетичних, паливних ресурсів, зростання транспортних витрат, торговельних накла</w:t>
      </w:r>
      <w:r w:rsidRPr="00100711">
        <w:rPr>
          <w:sz w:val="28"/>
          <w:szCs w:val="28"/>
        </w:rPr>
        <w:t>д</w:t>
      </w:r>
      <w:r w:rsidRPr="00100711">
        <w:rPr>
          <w:sz w:val="28"/>
          <w:szCs w:val="28"/>
        </w:rPr>
        <w:t>них та інших побічних витрат;</w:t>
      </w:r>
    </w:p>
    <w:p w:rsidR="00E81E6D" w:rsidRPr="00100711" w:rsidRDefault="00A164F0" w:rsidP="00100711">
      <w:pPr>
        <w:numPr>
          <w:ilvl w:val="0"/>
          <w:numId w:val="25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зростання фонду оплати праці з причин перевищення очікув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 xml:space="preserve">ної чисельності працюючих чи внаслідок перевищення рівня заробітної плати окремим працівникам; </w:t>
      </w:r>
    </w:p>
    <w:p w:rsidR="00E81E6D" w:rsidRPr="00100711" w:rsidRDefault="00A164F0" w:rsidP="00100711">
      <w:pPr>
        <w:numPr>
          <w:ilvl w:val="0"/>
          <w:numId w:val="25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зростання податків та інших відрахувань внаслідок змін ставки оподаткування тощо;</w:t>
      </w:r>
    </w:p>
    <w:p w:rsidR="00E81E6D" w:rsidRPr="00100711" w:rsidRDefault="00A164F0" w:rsidP="00100711">
      <w:pPr>
        <w:numPr>
          <w:ilvl w:val="0"/>
          <w:numId w:val="25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низький рівень дисципліни постачання, зокрема, збої в пост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чанні палива, електроенергії тощо;</w:t>
      </w:r>
    </w:p>
    <w:p w:rsidR="00E81E6D" w:rsidRPr="00100711" w:rsidRDefault="00A164F0" w:rsidP="00100711">
      <w:pPr>
        <w:numPr>
          <w:ilvl w:val="0"/>
          <w:numId w:val="25"/>
        </w:numPr>
        <w:tabs>
          <w:tab w:val="num" w:pos="510"/>
        </w:tabs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100711">
        <w:rPr>
          <w:spacing w:val="-6"/>
          <w:sz w:val="28"/>
          <w:szCs w:val="28"/>
        </w:rPr>
        <w:t>фізичне та моральне зношення основних фондів (обладнання) т</w:t>
      </w:r>
      <w:r w:rsidRPr="00100711">
        <w:rPr>
          <w:spacing w:val="-6"/>
          <w:sz w:val="28"/>
          <w:szCs w:val="28"/>
        </w:rPr>
        <w:t>о</w:t>
      </w:r>
      <w:r w:rsidRPr="00100711">
        <w:rPr>
          <w:spacing w:val="-6"/>
          <w:sz w:val="28"/>
          <w:szCs w:val="28"/>
        </w:rPr>
        <w:t>що.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E81E6D" w:rsidRPr="0003257B" w:rsidRDefault="0003257B" w:rsidP="0010071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3257B">
        <w:rPr>
          <w:b/>
          <w:i/>
          <w:sz w:val="28"/>
          <w:szCs w:val="28"/>
        </w:rPr>
        <w:t>2.4</w:t>
      </w:r>
      <w:r w:rsidR="00A164F0" w:rsidRPr="0003257B">
        <w:rPr>
          <w:b/>
          <w:i/>
          <w:sz w:val="28"/>
          <w:szCs w:val="28"/>
        </w:rPr>
        <w:t xml:space="preserve"> Комерційний ризик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Це ризик, що виникає в процесі реалізації товарів і послуг, виробл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них чи куплених підприємцем. Деякі з основних причин комерційного р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зику:</w:t>
      </w:r>
    </w:p>
    <w:p w:rsidR="00E81E6D" w:rsidRPr="00100711" w:rsidRDefault="00A164F0" w:rsidP="00100711">
      <w:pPr>
        <w:numPr>
          <w:ilvl w:val="0"/>
          <w:numId w:val="26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зниження обсягів реалізації внаслідок зниження попиту або в</w:t>
      </w:r>
      <w:r w:rsidRPr="00100711">
        <w:rPr>
          <w:sz w:val="28"/>
          <w:szCs w:val="28"/>
        </w:rPr>
        <w:t>и</w:t>
      </w:r>
      <w:r w:rsidRPr="00100711">
        <w:rPr>
          <w:sz w:val="28"/>
          <w:szCs w:val="28"/>
        </w:rPr>
        <w:t>тіснення даного товару конкуруючими товарами (замінниками) або запр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вадження обмежень на продаж даного товару тощо;</w:t>
      </w:r>
    </w:p>
    <w:p w:rsidR="00E81E6D" w:rsidRPr="00100711" w:rsidRDefault="00A164F0" w:rsidP="00100711">
      <w:pPr>
        <w:numPr>
          <w:ilvl w:val="0"/>
          <w:numId w:val="26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підвищення закупівельної ціни товару в процесі здійснення п</w:t>
      </w:r>
      <w:r w:rsidRPr="00100711">
        <w:rPr>
          <w:sz w:val="28"/>
          <w:szCs w:val="28"/>
        </w:rPr>
        <w:t>і</w:t>
      </w:r>
      <w:r w:rsidRPr="00100711">
        <w:rPr>
          <w:sz w:val="28"/>
          <w:szCs w:val="28"/>
        </w:rPr>
        <w:t>дприємницького проекту;</w:t>
      </w:r>
    </w:p>
    <w:p w:rsidR="00E81E6D" w:rsidRPr="00100711" w:rsidRDefault="00A164F0" w:rsidP="00100711">
      <w:pPr>
        <w:numPr>
          <w:ilvl w:val="0"/>
          <w:numId w:val="26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втрата частки товару;</w:t>
      </w:r>
    </w:p>
    <w:p w:rsidR="00E81E6D" w:rsidRPr="00100711" w:rsidRDefault="00A164F0" w:rsidP="00100711">
      <w:pPr>
        <w:numPr>
          <w:ilvl w:val="0"/>
          <w:numId w:val="26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погіршення якості товару в процесі зберігання чи транспорт</w:t>
      </w:r>
      <w:r w:rsidRPr="00100711">
        <w:rPr>
          <w:sz w:val="28"/>
          <w:szCs w:val="28"/>
        </w:rPr>
        <w:t>у</w:t>
      </w:r>
      <w:r w:rsidRPr="00100711">
        <w:rPr>
          <w:sz w:val="28"/>
          <w:szCs w:val="28"/>
        </w:rPr>
        <w:t>вання, що спричиняє зниження його ціни;</w:t>
      </w:r>
    </w:p>
    <w:p w:rsidR="00E81E6D" w:rsidRPr="00100711" w:rsidRDefault="00A164F0" w:rsidP="00100711">
      <w:pPr>
        <w:numPr>
          <w:ilvl w:val="0"/>
          <w:numId w:val="26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підвищення затрат обертання коштів внаслідок сплати штр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фів, відрахувань, стягнень, що спричиняє зниження прибутків тощо.</w:t>
      </w:r>
    </w:p>
    <w:p w:rsidR="00E81E6D" w:rsidRPr="00100711" w:rsidRDefault="00A164F0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Комерційний ризик можна деталізувати на такі складові:</w:t>
      </w:r>
    </w:p>
    <w:p w:rsidR="00E81E6D" w:rsidRPr="00100711" w:rsidRDefault="00A164F0" w:rsidP="00100711">
      <w:pPr>
        <w:numPr>
          <w:ilvl w:val="0"/>
          <w:numId w:val="27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реалізацією товару (послуг) на ринку;</w:t>
      </w:r>
    </w:p>
    <w:p w:rsidR="00E81E6D" w:rsidRPr="00100711" w:rsidRDefault="00A164F0" w:rsidP="00100711">
      <w:pPr>
        <w:numPr>
          <w:ilvl w:val="0"/>
          <w:numId w:val="27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транспортуванням товару;</w:t>
      </w:r>
    </w:p>
    <w:p w:rsidR="00E81E6D" w:rsidRPr="00100711" w:rsidRDefault="00A164F0" w:rsidP="00100711">
      <w:pPr>
        <w:numPr>
          <w:ilvl w:val="0"/>
          <w:numId w:val="27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передачею товару (послуг) покупцеві;</w:t>
      </w:r>
    </w:p>
    <w:p w:rsidR="00E81E6D" w:rsidRPr="00100711" w:rsidRDefault="00A164F0" w:rsidP="00100711">
      <w:pPr>
        <w:numPr>
          <w:ilvl w:val="0"/>
          <w:numId w:val="27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ризик, пов’язаний з платоспроможністю покупця;</w:t>
      </w:r>
    </w:p>
    <w:p w:rsidR="00E81E6D" w:rsidRPr="00100711" w:rsidRDefault="00A164F0" w:rsidP="00100711">
      <w:pPr>
        <w:numPr>
          <w:ilvl w:val="0"/>
          <w:numId w:val="27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ризик форс-мажорних обставин.</w:t>
      </w:r>
    </w:p>
    <w:p w:rsidR="00E81E6D" w:rsidRPr="00100711" w:rsidRDefault="00A164F0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Окремо зупинимося на транспортному ризику. Його класифікація вперше була здійснена Міжнародною торговельною палатою в Парижі у 1919 р. й уніфікована у 1936 р. Нині різноманітні транспортні ризики кл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 xml:space="preserve">сифікуються за ступенем і за відповідністю в чотири групи: </w:t>
      </w:r>
      <w:r w:rsidRPr="00100711">
        <w:rPr>
          <w:i/>
          <w:sz w:val="28"/>
          <w:szCs w:val="28"/>
        </w:rPr>
        <w:t>Е</w:t>
      </w:r>
      <w:r w:rsidRPr="00100711">
        <w:rPr>
          <w:sz w:val="28"/>
          <w:szCs w:val="28"/>
        </w:rPr>
        <w:t xml:space="preserve">, </w:t>
      </w:r>
      <w:r w:rsidRPr="00100711">
        <w:rPr>
          <w:i/>
          <w:sz w:val="28"/>
          <w:szCs w:val="28"/>
        </w:rPr>
        <w:t>F</w:t>
      </w:r>
      <w:r w:rsidRPr="00100711">
        <w:rPr>
          <w:sz w:val="28"/>
          <w:szCs w:val="28"/>
        </w:rPr>
        <w:t xml:space="preserve">, </w:t>
      </w:r>
      <w:r w:rsidRPr="00100711">
        <w:rPr>
          <w:i/>
          <w:sz w:val="28"/>
          <w:szCs w:val="28"/>
        </w:rPr>
        <w:t>C</w:t>
      </w:r>
      <w:r w:rsidRPr="00100711">
        <w:rPr>
          <w:sz w:val="28"/>
          <w:szCs w:val="28"/>
        </w:rPr>
        <w:t xml:space="preserve">, </w:t>
      </w:r>
      <w:r w:rsidRPr="00100711">
        <w:rPr>
          <w:i/>
          <w:sz w:val="28"/>
          <w:szCs w:val="28"/>
        </w:rPr>
        <w:t>D</w:t>
      </w:r>
      <w:r w:rsidRPr="00100711">
        <w:rPr>
          <w:sz w:val="28"/>
          <w:szCs w:val="28"/>
        </w:rPr>
        <w:t>. К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 xml:space="preserve">жна з груп </w:t>
      </w:r>
      <w:r w:rsidRPr="00100711">
        <w:rPr>
          <w:i/>
          <w:sz w:val="28"/>
          <w:szCs w:val="28"/>
        </w:rPr>
        <w:t>F</w:t>
      </w:r>
      <w:r w:rsidRPr="00100711">
        <w:rPr>
          <w:sz w:val="28"/>
          <w:szCs w:val="28"/>
        </w:rPr>
        <w:t xml:space="preserve">, </w:t>
      </w:r>
      <w:r w:rsidRPr="00100711">
        <w:rPr>
          <w:i/>
          <w:sz w:val="28"/>
          <w:szCs w:val="28"/>
        </w:rPr>
        <w:t>C</w:t>
      </w:r>
      <w:r w:rsidRPr="00100711">
        <w:rPr>
          <w:sz w:val="28"/>
          <w:szCs w:val="28"/>
        </w:rPr>
        <w:t xml:space="preserve">, </w:t>
      </w:r>
      <w:r w:rsidRPr="00100711">
        <w:rPr>
          <w:i/>
          <w:sz w:val="28"/>
          <w:szCs w:val="28"/>
        </w:rPr>
        <w:t>D</w:t>
      </w:r>
      <w:r w:rsidRPr="00100711">
        <w:rPr>
          <w:sz w:val="28"/>
          <w:szCs w:val="28"/>
        </w:rPr>
        <w:t xml:space="preserve"> також деталізується. Так, наприклад, група </w:t>
      </w:r>
      <w:r w:rsidRPr="00100711">
        <w:rPr>
          <w:i/>
          <w:sz w:val="28"/>
          <w:szCs w:val="28"/>
        </w:rPr>
        <w:t>F</w:t>
      </w:r>
      <w:r w:rsidRPr="00100711">
        <w:rPr>
          <w:sz w:val="28"/>
          <w:szCs w:val="28"/>
        </w:rPr>
        <w:t xml:space="preserve"> деталіз</w:t>
      </w:r>
      <w:r w:rsidRPr="00100711">
        <w:rPr>
          <w:sz w:val="28"/>
          <w:szCs w:val="28"/>
        </w:rPr>
        <w:t>у</w:t>
      </w:r>
      <w:r w:rsidRPr="00100711">
        <w:rPr>
          <w:sz w:val="28"/>
          <w:szCs w:val="28"/>
        </w:rPr>
        <w:t>ється згідно з ситуацією передачі відповідальності, а відповідно й ризиків:</w:t>
      </w:r>
    </w:p>
    <w:p w:rsidR="00E81E6D" w:rsidRPr="00100711" w:rsidRDefault="00A164F0" w:rsidP="00100711">
      <w:pPr>
        <w:numPr>
          <w:ilvl w:val="0"/>
          <w:numId w:val="37"/>
        </w:numPr>
        <w:tabs>
          <w:tab w:val="num" w:pos="510"/>
        </w:tabs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100711">
        <w:rPr>
          <w:i/>
          <w:spacing w:val="-6"/>
          <w:sz w:val="28"/>
          <w:szCs w:val="28"/>
        </w:rPr>
        <w:t>FCA</w:t>
      </w:r>
      <w:r w:rsidRPr="00100711">
        <w:rPr>
          <w:spacing w:val="-6"/>
          <w:sz w:val="28"/>
          <w:szCs w:val="28"/>
        </w:rPr>
        <w:t xml:space="preserve"> означає, що ризик і відповідальність за товар переходять від постачальника до покупця в момент передачі його у встановленому місці; </w:t>
      </w:r>
    </w:p>
    <w:p w:rsidR="00E81E6D" w:rsidRPr="00100711" w:rsidRDefault="00A164F0" w:rsidP="00100711">
      <w:pPr>
        <w:numPr>
          <w:ilvl w:val="0"/>
          <w:numId w:val="37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z w:val="28"/>
          <w:szCs w:val="28"/>
        </w:rPr>
        <w:t>FAS</w:t>
      </w:r>
      <w:r w:rsidRPr="00100711">
        <w:rPr>
          <w:sz w:val="28"/>
          <w:szCs w:val="28"/>
        </w:rPr>
        <w:t xml:space="preserve"> означає, що ризик і відповідальність за товар переходять від постачальника до покупця у зазначеному в контракті порту;</w:t>
      </w:r>
    </w:p>
    <w:p w:rsidR="00E81E6D" w:rsidRPr="00100711" w:rsidRDefault="00A164F0" w:rsidP="00100711">
      <w:pPr>
        <w:numPr>
          <w:ilvl w:val="0"/>
          <w:numId w:val="37"/>
        </w:numPr>
        <w:tabs>
          <w:tab w:val="num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i/>
          <w:sz w:val="28"/>
          <w:szCs w:val="28"/>
        </w:rPr>
        <w:t>FOB</w:t>
      </w:r>
      <w:r w:rsidRPr="00100711">
        <w:rPr>
          <w:sz w:val="28"/>
          <w:szCs w:val="28"/>
        </w:rPr>
        <w:t xml:space="preserve"> означає, що постачальник звільняється від відповідальн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сті за товар після його вивантаження за борт судна.</w:t>
      </w: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Слід зазначити, що у вітчизняній економічній літературі часто ком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>рційний ризик ототожнюється з підприємницьким, але комерційний ризик — це лише один з низки підприємницьких ризиків.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81E6D" w:rsidRPr="00100711" w:rsidRDefault="00E81E6D" w:rsidP="0010071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81E6D" w:rsidRPr="00100711" w:rsidRDefault="0003257B" w:rsidP="0010071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2.5</w:t>
      </w:r>
      <w:r w:rsidR="00A164F0" w:rsidRPr="00100711">
        <w:rPr>
          <w:b/>
          <w:i/>
          <w:sz w:val="28"/>
          <w:szCs w:val="28"/>
        </w:rPr>
        <w:t xml:space="preserve"> Фінансовий ризик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Під фінансовим розуміють ризик, що виникає під час здійснення ф</w:t>
      </w:r>
      <w:r w:rsidRPr="00100711">
        <w:rPr>
          <w:sz w:val="28"/>
          <w:szCs w:val="28"/>
        </w:rPr>
        <w:t>і</w:t>
      </w:r>
      <w:r w:rsidRPr="00100711">
        <w:rPr>
          <w:sz w:val="28"/>
          <w:szCs w:val="28"/>
        </w:rPr>
        <w:t>нансового підприємництва чи фінансових угод. До фінансового ризику н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лежать:</w:t>
      </w:r>
    </w:p>
    <w:p w:rsidR="00E81E6D" w:rsidRPr="00100711" w:rsidRDefault="00A164F0" w:rsidP="00100711">
      <w:pPr>
        <w:numPr>
          <w:ilvl w:val="0"/>
          <w:numId w:val="33"/>
        </w:numPr>
        <w:tabs>
          <w:tab w:val="left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валютний ризик;</w:t>
      </w:r>
    </w:p>
    <w:p w:rsidR="00E81E6D" w:rsidRPr="00100711" w:rsidRDefault="00A164F0" w:rsidP="00100711">
      <w:pPr>
        <w:numPr>
          <w:ilvl w:val="0"/>
          <w:numId w:val="33"/>
        </w:numPr>
        <w:tabs>
          <w:tab w:val="left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кредитний ризик;</w:t>
      </w:r>
    </w:p>
    <w:p w:rsidR="00E81E6D" w:rsidRPr="00100711" w:rsidRDefault="00A164F0" w:rsidP="00100711">
      <w:pPr>
        <w:numPr>
          <w:ilvl w:val="0"/>
          <w:numId w:val="33"/>
        </w:numPr>
        <w:tabs>
          <w:tab w:val="left" w:pos="510"/>
        </w:tabs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інвестиційний ризик.</w:t>
      </w:r>
    </w:p>
    <w:p w:rsidR="00E81E6D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Зупинимося на інвестиційному ризикові. Він зумовлюється і зал</w:t>
      </w:r>
      <w:r w:rsidRPr="00100711">
        <w:rPr>
          <w:sz w:val="28"/>
          <w:szCs w:val="28"/>
        </w:rPr>
        <w:t>е</w:t>
      </w:r>
      <w:r w:rsidRPr="00100711">
        <w:rPr>
          <w:sz w:val="28"/>
          <w:szCs w:val="28"/>
        </w:rPr>
        <w:t xml:space="preserve">жить від специфіки вкладення підприємницькою фірмою коштів у різні проекти. </w:t>
      </w:r>
    </w:p>
    <w:p w:rsidR="0003257B" w:rsidRPr="00100711" w:rsidRDefault="0003257B" w:rsidP="0003257B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 xml:space="preserve">Основні ризики, які належать до групи інвестиційних наведено в табл. </w:t>
      </w:r>
      <w:r>
        <w:rPr>
          <w:sz w:val="28"/>
          <w:szCs w:val="28"/>
        </w:rPr>
        <w:t>2.1</w:t>
      </w:r>
    </w:p>
    <w:p w:rsidR="0003257B" w:rsidRPr="00100711" w:rsidRDefault="0003257B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E81E6D" w:rsidRPr="0003257B" w:rsidRDefault="00A164F0" w:rsidP="00100711">
      <w:pPr>
        <w:spacing w:line="360" w:lineRule="auto"/>
        <w:ind w:firstLine="709"/>
        <w:jc w:val="right"/>
        <w:rPr>
          <w:sz w:val="28"/>
          <w:szCs w:val="28"/>
        </w:rPr>
      </w:pPr>
      <w:r w:rsidRPr="0003257B">
        <w:rPr>
          <w:sz w:val="28"/>
          <w:szCs w:val="28"/>
        </w:rPr>
        <w:t xml:space="preserve">Таблиця </w:t>
      </w:r>
      <w:r w:rsidR="0003257B" w:rsidRPr="0003257B">
        <w:rPr>
          <w:sz w:val="28"/>
          <w:szCs w:val="28"/>
        </w:rPr>
        <w:t>2.1</w:t>
      </w:r>
    </w:p>
    <w:p w:rsidR="00E81E6D" w:rsidRPr="0003257B" w:rsidRDefault="00A164F0" w:rsidP="00100711">
      <w:pPr>
        <w:pStyle w:val="1"/>
        <w:spacing w:before="0" w:after="0" w:line="360" w:lineRule="auto"/>
        <w:ind w:firstLine="709"/>
        <w:rPr>
          <w:b w:val="0"/>
          <w:i/>
          <w:sz w:val="28"/>
          <w:szCs w:val="28"/>
        </w:rPr>
      </w:pPr>
      <w:r w:rsidRPr="0003257B">
        <w:rPr>
          <w:b w:val="0"/>
          <w:sz w:val="28"/>
          <w:szCs w:val="28"/>
        </w:rPr>
        <w:t>ОСНОВНІ ВИДИ ІНВЕСТИЦІЙНОГО РИЗИКУ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7451"/>
      </w:tblGrid>
      <w:tr w:rsidR="00E81E6D" w:rsidRPr="00100711" w:rsidTr="0003257B">
        <w:tc>
          <w:tcPr>
            <w:tcW w:w="2047" w:type="dxa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Види ризику</w:t>
            </w:r>
          </w:p>
        </w:tc>
        <w:tc>
          <w:tcPr>
            <w:tcW w:w="7451" w:type="dxa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Пояснення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Капітальний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Загальний ризик, що стосується усіх інвестиційних вкладень. Ризик полягає у тому, що інвестор буде не в змозі повернути інвестовані з</w:t>
            </w:r>
            <w:r w:rsidRPr="0003257B">
              <w:rPr>
                <w:sz w:val="24"/>
                <w:szCs w:val="24"/>
              </w:rPr>
              <w:t>а</w:t>
            </w:r>
            <w:r w:rsidRPr="0003257B">
              <w:rPr>
                <w:sz w:val="24"/>
                <w:szCs w:val="24"/>
              </w:rPr>
              <w:t>соби без збитків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Селективний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спрямованого вибору об’єкта для інвестування в порівнянні з іншими варіантами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Відсотковий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понесення збитків, зумовлених змінами відсоткових ставок на ринку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proofErr w:type="spellStart"/>
            <w:r w:rsidRPr="0003257B">
              <w:rPr>
                <w:sz w:val="24"/>
                <w:szCs w:val="24"/>
              </w:rPr>
              <w:t>Країнний</w:t>
            </w:r>
            <w:proofErr w:type="spellEnd"/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pacing w:val="-4"/>
                <w:sz w:val="24"/>
                <w:szCs w:val="24"/>
              </w:rPr>
            </w:pPr>
            <w:r w:rsidRPr="0003257B">
              <w:rPr>
                <w:spacing w:val="-4"/>
                <w:sz w:val="24"/>
                <w:szCs w:val="24"/>
              </w:rPr>
              <w:t>Ризик можливих збитків у зв’язку з вкладенням коштів у підприємства, що знаходяться під юрисдикцією країни з нестабільним соціальним та економічним становищем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Операційний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можливих збитків, пов’язаних із збоями в функціонуванні комп’ютерних інформаційних систем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Часовий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інвестування коштів у невдало обраний час, що тягне за собою збитки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законода</w:t>
            </w:r>
            <w:r w:rsidRPr="0003257B">
              <w:rPr>
                <w:sz w:val="24"/>
                <w:szCs w:val="24"/>
              </w:rPr>
              <w:t>в</w:t>
            </w:r>
            <w:r w:rsidRPr="0003257B">
              <w:rPr>
                <w:sz w:val="24"/>
                <w:szCs w:val="24"/>
              </w:rPr>
              <w:t>чих змін, нестаб</w:t>
            </w:r>
            <w:r w:rsidRPr="0003257B">
              <w:rPr>
                <w:sz w:val="24"/>
                <w:szCs w:val="24"/>
              </w:rPr>
              <w:t>і</w:t>
            </w:r>
            <w:r w:rsidRPr="0003257B">
              <w:rPr>
                <w:sz w:val="24"/>
                <w:szCs w:val="24"/>
              </w:rPr>
              <w:t>льності законод</w:t>
            </w:r>
            <w:r w:rsidRPr="0003257B">
              <w:rPr>
                <w:sz w:val="24"/>
                <w:szCs w:val="24"/>
              </w:rPr>
              <w:t>а</w:t>
            </w:r>
            <w:r w:rsidRPr="0003257B">
              <w:rPr>
                <w:sz w:val="24"/>
                <w:szCs w:val="24"/>
              </w:rPr>
              <w:t>вчої бази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Можливі збитки, зумовлені змінами в законодавчому регулюванні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ліквідності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Ризик, зумовлений реалізацією цінних паперів при можливих змінах в оцінці ліквідності</w:t>
            </w:r>
          </w:p>
        </w:tc>
      </w:tr>
      <w:tr w:rsidR="00E81E6D" w:rsidRPr="00100711" w:rsidTr="0003257B">
        <w:tc>
          <w:tcPr>
            <w:tcW w:w="2047" w:type="dxa"/>
            <w:vAlign w:val="center"/>
          </w:tcPr>
          <w:p w:rsidR="00E81E6D" w:rsidRPr="0003257B" w:rsidRDefault="00A164F0" w:rsidP="0003257B">
            <w:pPr>
              <w:jc w:val="center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інфляції</w:t>
            </w:r>
          </w:p>
        </w:tc>
        <w:tc>
          <w:tcPr>
            <w:tcW w:w="7451" w:type="dxa"/>
            <w:vAlign w:val="center"/>
          </w:tcPr>
          <w:p w:rsidR="00E81E6D" w:rsidRPr="0003257B" w:rsidRDefault="00A164F0" w:rsidP="0003257B">
            <w:pPr>
              <w:jc w:val="both"/>
              <w:rPr>
                <w:sz w:val="24"/>
                <w:szCs w:val="24"/>
              </w:rPr>
            </w:pPr>
            <w:r w:rsidRPr="0003257B">
              <w:rPr>
                <w:sz w:val="24"/>
                <w:szCs w:val="24"/>
              </w:rPr>
              <w:t>Ризик полягає у тому, що через високі темпи інфляції доходи, які н</w:t>
            </w:r>
            <w:r w:rsidRPr="0003257B">
              <w:rPr>
                <w:sz w:val="24"/>
                <w:szCs w:val="24"/>
              </w:rPr>
              <w:t>а</w:t>
            </w:r>
            <w:r w:rsidRPr="0003257B">
              <w:rPr>
                <w:sz w:val="24"/>
                <w:szCs w:val="24"/>
              </w:rPr>
              <w:t xml:space="preserve">дійдуть від інвестованих коштів, можуть знецінитися у реальних цінах </w:t>
            </w:r>
          </w:p>
        </w:tc>
      </w:tr>
    </w:tbl>
    <w:p w:rsidR="00E81E6D" w:rsidRPr="00100711" w:rsidRDefault="00A164F0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lastRenderedPageBreak/>
        <w:t>Нерідко в економічній літературі інвестиційними ризиками вваж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ють лише ризики, зумовлені вкладенням коштів у цінні папери. Насправді під цими ризиками слід розуміти різноманітні суттєві ризики, що можуть виникнути при інвестуванні коштів.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81E6D" w:rsidRPr="00100711" w:rsidRDefault="0003257B" w:rsidP="0010071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2.6</w:t>
      </w:r>
      <w:r w:rsidR="00A164F0" w:rsidRPr="00100711">
        <w:rPr>
          <w:b/>
          <w:i/>
          <w:sz w:val="28"/>
          <w:szCs w:val="28"/>
        </w:rPr>
        <w:t xml:space="preserve"> Інноваційний ризик</w:t>
      </w:r>
    </w:p>
    <w:p w:rsidR="00E81E6D" w:rsidRPr="00100711" w:rsidRDefault="00E81E6D" w:rsidP="00100711">
      <w:pPr>
        <w:spacing w:line="360" w:lineRule="auto"/>
        <w:ind w:firstLine="709"/>
        <w:jc w:val="both"/>
        <w:rPr>
          <w:sz w:val="28"/>
          <w:szCs w:val="28"/>
        </w:rPr>
      </w:pPr>
    </w:p>
    <w:p w:rsidR="00E81E6D" w:rsidRPr="00100711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>Інноваційний ризик — це міра можливих збитків, які можуть вини</w:t>
      </w:r>
      <w:r w:rsidRPr="00100711">
        <w:rPr>
          <w:sz w:val="28"/>
          <w:szCs w:val="28"/>
        </w:rPr>
        <w:t>к</w:t>
      </w:r>
      <w:r w:rsidRPr="00100711">
        <w:rPr>
          <w:sz w:val="28"/>
          <w:szCs w:val="28"/>
        </w:rPr>
        <w:t>нути у разі вкладення підприємницькою фірмою коштів у виробництво н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вих товарів, технологій, послуг, що не відразу сприймаються ринком або не знахо</w:t>
      </w:r>
      <w:r w:rsidR="0003257B">
        <w:rPr>
          <w:sz w:val="28"/>
          <w:szCs w:val="28"/>
        </w:rPr>
        <w:t xml:space="preserve">дять свого споживача взагалі. </w:t>
      </w:r>
    </w:p>
    <w:p w:rsidR="00E81E6D" w:rsidRPr="00100711" w:rsidRDefault="00A164F0" w:rsidP="00100711">
      <w:pPr>
        <w:pStyle w:val="a6"/>
        <w:spacing w:line="360" w:lineRule="auto"/>
        <w:ind w:firstLine="709"/>
        <w:rPr>
          <w:sz w:val="28"/>
          <w:szCs w:val="28"/>
        </w:rPr>
      </w:pPr>
      <w:r w:rsidRPr="00100711">
        <w:rPr>
          <w:sz w:val="28"/>
          <w:szCs w:val="28"/>
        </w:rPr>
        <w:t>Слід зазначити, що різноманітні ризики здебільшого взаєм</w:t>
      </w:r>
      <w:r w:rsidRPr="00100711">
        <w:rPr>
          <w:sz w:val="28"/>
          <w:szCs w:val="28"/>
        </w:rPr>
        <w:t>о</w:t>
      </w:r>
      <w:r w:rsidRPr="00100711">
        <w:rPr>
          <w:sz w:val="28"/>
          <w:szCs w:val="28"/>
        </w:rPr>
        <w:t>пов’язані, зміни одних викликають зміну інших. Більшість з них вплив</w:t>
      </w:r>
      <w:r w:rsidRPr="00100711">
        <w:rPr>
          <w:sz w:val="28"/>
          <w:szCs w:val="28"/>
        </w:rPr>
        <w:t>а</w:t>
      </w:r>
      <w:r w:rsidRPr="00100711">
        <w:rPr>
          <w:sz w:val="28"/>
          <w:szCs w:val="28"/>
        </w:rPr>
        <w:t>ють на результати економічної діяльності і вимагають як аналізу на які</w:t>
      </w:r>
      <w:r w:rsidRPr="00100711">
        <w:rPr>
          <w:sz w:val="28"/>
          <w:szCs w:val="28"/>
        </w:rPr>
        <w:t>с</w:t>
      </w:r>
      <w:r w:rsidRPr="00100711">
        <w:rPr>
          <w:sz w:val="28"/>
          <w:szCs w:val="28"/>
        </w:rPr>
        <w:t>ному, так і на кількісному рівнях.</w:t>
      </w:r>
    </w:p>
    <w:p w:rsidR="00E81E6D" w:rsidRDefault="00A164F0" w:rsidP="00100711">
      <w:pPr>
        <w:spacing w:line="360" w:lineRule="auto"/>
        <w:ind w:firstLine="709"/>
        <w:jc w:val="both"/>
        <w:rPr>
          <w:sz w:val="28"/>
          <w:szCs w:val="28"/>
        </w:rPr>
      </w:pPr>
      <w:r w:rsidRPr="00100711">
        <w:rPr>
          <w:sz w:val="28"/>
          <w:szCs w:val="28"/>
        </w:rPr>
        <w:t xml:space="preserve">Отже кількісний аналіз та моделювання є тими інструментальними засобами, які дають змогу оцінити, виокремити, нехай і наближено, суттєві ризики з несуттєвих (надуманих). </w:t>
      </w:r>
    </w:p>
    <w:p w:rsidR="0003257B" w:rsidRPr="00100711" w:rsidRDefault="0003257B" w:rsidP="00100711">
      <w:pPr>
        <w:spacing w:line="360" w:lineRule="auto"/>
        <w:ind w:firstLine="709"/>
        <w:jc w:val="both"/>
        <w:rPr>
          <w:sz w:val="28"/>
          <w:szCs w:val="28"/>
        </w:rPr>
      </w:pPr>
    </w:p>
    <w:sectPr w:rsidR="0003257B" w:rsidRPr="00100711" w:rsidSect="00100711">
      <w:footerReference w:type="even" r:id="rId8"/>
      <w:footerReference w:type="default" r:id="rId9"/>
      <w:pgSz w:w="11907" w:h="16839" w:code="9"/>
      <w:pgMar w:top="1134" w:right="1134" w:bottom="1134" w:left="1701" w:header="720" w:footer="851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61" w:rsidRDefault="002A1761">
      <w:r>
        <w:separator/>
      </w:r>
    </w:p>
  </w:endnote>
  <w:endnote w:type="continuationSeparator" w:id="0">
    <w:p w:rsidR="002A1761" w:rsidRDefault="002A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E6D" w:rsidRDefault="00A164F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1E6D" w:rsidRDefault="00E81E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E6D" w:rsidRDefault="00A164F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392D">
      <w:rPr>
        <w:rStyle w:val="a8"/>
        <w:noProof/>
      </w:rPr>
      <w:t>7</w:t>
    </w:r>
    <w:r>
      <w:rPr>
        <w:rStyle w:val="a8"/>
      </w:rPr>
      <w:fldChar w:fldCharType="end"/>
    </w:r>
  </w:p>
  <w:p w:rsidR="00E81E6D" w:rsidRDefault="00E81E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61" w:rsidRDefault="002A1761">
      <w:pPr>
        <w:ind w:right="5387"/>
      </w:pPr>
      <w:r>
        <w:separator/>
      </w:r>
    </w:p>
  </w:footnote>
  <w:footnote w:type="continuationSeparator" w:id="0">
    <w:p w:rsidR="002A1761" w:rsidRDefault="002A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90302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">
    <w:nsid w:val="0509561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3">
    <w:nsid w:val="05F95C0F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4">
    <w:nsid w:val="08486AA9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5">
    <w:nsid w:val="0B420541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6">
    <w:nsid w:val="10636317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7">
    <w:nsid w:val="122A027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8">
    <w:nsid w:val="12C65746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9">
    <w:nsid w:val="1AB259A3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0">
    <w:nsid w:val="1C4D6858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1">
    <w:nsid w:val="1DD11842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2">
    <w:nsid w:val="1F45583A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3">
    <w:nsid w:val="1F971892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4">
    <w:nsid w:val="21FE47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57E1C03"/>
    <w:multiLevelType w:val="singleLevel"/>
    <w:tmpl w:val="D09A33D2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18"/>
      </w:rPr>
    </w:lvl>
  </w:abstractNum>
  <w:abstractNum w:abstractNumId="16">
    <w:nsid w:val="27971420"/>
    <w:multiLevelType w:val="singleLevel"/>
    <w:tmpl w:val="7EC81FA6"/>
    <w:lvl w:ilvl="0">
      <w:start w:val="5"/>
      <w:numFmt w:val="decimal"/>
      <w:lvlText w:val="%1) "/>
      <w:legacy w:legacy="1" w:legacySpace="0" w:legacyIndent="283"/>
      <w:lvlJc w:val="left"/>
      <w:pPr>
        <w:ind w:left="99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7">
    <w:nsid w:val="2C085EAB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18">
    <w:nsid w:val="2F3A76C8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19">
    <w:nsid w:val="30B0134A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0">
    <w:nsid w:val="38F84735"/>
    <w:multiLevelType w:val="singleLevel"/>
    <w:tmpl w:val="1F6279E4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21">
    <w:nsid w:val="39524032"/>
    <w:multiLevelType w:val="singleLevel"/>
    <w:tmpl w:val="97122BB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22">
    <w:nsid w:val="39955413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3">
    <w:nsid w:val="3C0D7386"/>
    <w:multiLevelType w:val="multilevel"/>
    <w:tmpl w:val="D8D28A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3D8435C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25">
    <w:nsid w:val="46FC6DD3"/>
    <w:multiLevelType w:val="singleLevel"/>
    <w:tmpl w:val="D0A6F27A"/>
    <w:lvl w:ilvl="0">
      <w:start w:val="1"/>
      <w:numFmt w:val="bullet"/>
      <w:lvlText w:val=""/>
      <w:lvlJc w:val="left"/>
      <w:pPr>
        <w:tabs>
          <w:tab w:val="num" w:pos="0"/>
        </w:tabs>
        <w:ind w:left="1134" w:hanging="283"/>
      </w:pPr>
      <w:rPr>
        <w:rFonts w:ascii="Symbol" w:hAnsi="Symbol" w:hint="default"/>
      </w:rPr>
    </w:lvl>
  </w:abstractNum>
  <w:abstractNum w:abstractNumId="26">
    <w:nsid w:val="4AFA1A6F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7">
    <w:nsid w:val="54923184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28">
    <w:nsid w:val="54E4728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29">
    <w:nsid w:val="57227216"/>
    <w:multiLevelType w:val="singleLevel"/>
    <w:tmpl w:val="531A7728"/>
    <w:lvl w:ilvl="0">
      <w:start w:val="1"/>
      <w:numFmt w:val="decimal"/>
      <w:lvlText w:val="%1."/>
      <w:legacy w:legacy="1" w:legacySpace="0" w:legacyIndent="227"/>
      <w:lvlJc w:val="left"/>
      <w:pPr>
        <w:ind w:left="528" w:hanging="227"/>
      </w:pPr>
      <w:rPr>
        <w:sz w:val="20"/>
      </w:rPr>
    </w:lvl>
  </w:abstractNum>
  <w:abstractNum w:abstractNumId="30">
    <w:nsid w:val="57CE46D4"/>
    <w:multiLevelType w:val="singleLevel"/>
    <w:tmpl w:val="1F6279E4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31">
    <w:nsid w:val="5F52098B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32">
    <w:nsid w:val="698A2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B112765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34">
    <w:nsid w:val="723D5AC9"/>
    <w:multiLevelType w:val="singleLevel"/>
    <w:tmpl w:val="65C81CF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35">
    <w:nsid w:val="7A0B437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36">
    <w:nsid w:val="7D880CDC"/>
    <w:multiLevelType w:val="singleLevel"/>
    <w:tmpl w:val="1F6279E4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num w:numId="1">
    <w:abstractNumId w:val="16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0"/>
  </w:num>
  <w:num w:numId="7">
    <w:abstractNumId w:val="36"/>
  </w:num>
  <w:num w:numId="8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1636" w:hanging="360"/>
        </w:pPr>
        <w:rPr>
          <w:rFonts w:ascii="Wingdings" w:hAnsi="Wingdings" w:hint="default"/>
        </w:rPr>
      </w:lvl>
    </w:lvlOverride>
  </w:num>
  <w:num w:numId="9">
    <w:abstractNumId w:val="32"/>
  </w:num>
  <w:num w:numId="10">
    <w:abstractNumId w:val="6"/>
  </w:num>
  <w:num w:numId="11">
    <w:abstractNumId w:val="21"/>
  </w:num>
  <w:num w:numId="12">
    <w:abstractNumId w:val="5"/>
  </w:num>
  <w:num w:numId="13">
    <w:abstractNumId w:val="17"/>
  </w:num>
  <w:num w:numId="14">
    <w:abstractNumId w:val="13"/>
  </w:num>
  <w:num w:numId="15">
    <w:abstractNumId w:val="31"/>
  </w:num>
  <w:num w:numId="16">
    <w:abstractNumId w:val="22"/>
  </w:num>
  <w:num w:numId="17">
    <w:abstractNumId w:val="12"/>
  </w:num>
  <w:num w:numId="18">
    <w:abstractNumId w:val="33"/>
  </w:num>
  <w:num w:numId="19">
    <w:abstractNumId w:val="4"/>
  </w:num>
  <w:num w:numId="20">
    <w:abstractNumId w:val="9"/>
  </w:num>
  <w:num w:numId="21">
    <w:abstractNumId w:val="3"/>
  </w:num>
  <w:num w:numId="22">
    <w:abstractNumId w:val="1"/>
  </w:num>
  <w:num w:numId="23">
    <w:abstractNumId w:val="10"/>
  </w:num>
  <w:num w:numId="24">
    <w:abstractNumId w:val="34"/>
  </w:num>
  <w:num w:numId="25">
    <w:abstractNumId w:val="11"/>
  </w:num>
  <w:num w:numId="26">
    <w:abstractNumId w:val="26"/>
  </w:num>
  <w:num w:numId="27">
    <w:abstractNumId w:val="27"/>
  </w:num>
  <w:num w:numId="28">
    <w:abstractNumId w:val="28"/>
  </w:num>
  <w:num w:numId="29">
    <w:abstractNumId w:val="2"/>
  </w:num>
  <w:num w:numId="30">
    <w:abstractNumId w:val="7"/>
  </w:num>
  <w:num w:numId="31">
    <w:abstractNumId w:val="24"/>
  </w:num>
  <w:num w:numId="32">
    <w:abstractNumId w:val="35"/>
  </w:num>
  <w:num w:numId="33">
    <w:abstractNumId w:val="18"/>
  </w:num>
  <w:num w:numId="34">
    <w:abstractNumId w:val="19"/>
  </w:num>
  <w:num w:numId="35">
    <w:abstractNumId w:val="15"/>
  </w:num>
  <w:num w:numId="36">
    <w:abstractNumId w:val="25"/>
  </w:num>
  <w:num w:numId="37">
    <w:abstractNumId w:val="8"/>
  </w:num>
  <w:num w:numId="38">
    <w:abstractNumId w:val="29"/>
  </w:num>
  <w:num w:numId="39">
    <w:abstractNumId w:val="14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onsecutiveHyphenLimit w:val="3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1"/>
    <w:rsid w:val="0003257B"/>
    <w:rsid w:val="00100711"/>
    <w:rsid w:val="002A1761"/>
    <w:rsid w:val="007626B1"/>
    <w:rsid w:val="007905A1"/>
    <w:rsid w:val="00A164F0"/>
    <w:rsid w:val="00A27DC7"/>
    <w:rsid w:val="00AD392D"/>
    <w:rsid w:val="00AD79AD"/>
    <w:rsid w:val="00E810BC"/>
    <w:rsid w:val="00E81E6D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80" w:after="120" w:line="160" w:lineRule="exact"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spacing w:line="223" w:lineRule="exact"/>
      <w:ind w:firstLine="301"/>
      <w:jc w:val="right"/>
      <w:outlineLvl w:val="1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customStyle="1" w:styleId="Textosn">
    <w:name w:val="Text_osn"/>
    <w:basedOn w:val="a"/>
    <w:pPr>
      <w:spacing w:after="60" w:line="480" w:lineRule="atLeast"/>
      <w:ind w:firstLine="567"/>
      <w:jc w:val="both"/>
    </w:pPr>
    <w:rPr>
      <w:rFonts w:ascii="Baltica" w:hAnsi="Baltica"/>
      <w:sz w:val="28"/>
      <w:lang w:val="en-US"/>
    </w:rPr>
  </w:style>
  <w:style w:type="paragraph" w:customStyle="1" w:styleId="Ris">
    <w:name w:val="Ris"/>
    <w:basedOn w:val="Textosn"/>
    <w:pPr>
      <w:spacing w:line="240" w:lineRule="auto"/>
      <w:ind w:left="1701" w:hanging="1134"/>
    </w:pPr>
    <w:rPr>
      <w:lang w:val="ru-RU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4"/>
    </w:rPr>
  </w:style>
  <w:style w:type="paragraph" w:customStyle="1" w:styleId="Iauiue">
    <w:name w:val="Iau?iue"/>
  </w:style>
  <w:style w:type="paragraph" w:styleId="a6">
    <w:name w:val="Body Text Indent"/>
    <w:basedOn w:val="a"/>
    <w:semiHidden/>
    <w:pPr>
      <w:spacing w:line="223" w:lineRule="exact"/>
      <w:ind w:firstLine="301"/>
      <w:jc w:val="both"/>
    </w:pPr>
    <w:rPr>
      <w:sz w:val="22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spacing w:line="223" w:lineRule="exact"/>
      <w:jc w:val="both"/>
    </w:pPr>
    <w:rPr>
      <w:sz w:val="22"/>
    </w:rPr>
  </w:style>
  <w:style w:type="paragraph" w:styleId="21">
    <w:name w:val="Body Text Indent 2"/>
    <w:basedOn w:val="a"/>
    <w:semiHidden/>
    <w:pPr>
      <w:spacing w:line="223" w:lineRule="exact"/>
      <w:ind w:firstLine="301"/>
      <w:jc w:val="both"/>
    </w:pPr>
    <w:rPr>
      <w:rFonts w:ascii="Arial" w:hAnsi="Arial"/>
      <w:b/>
      <w:i/>
      <w:sz w:val="22"/>
    </w:rPr>
  </w:style>
  <w:style w:type="paragraph" w:styleId="3">
    <w:name w:val="Body Text 3"/>
    <w:basedOn w:val="a"/>
    <w:semiHidden/>
    <w:pPr>
      <w:spacing w:line="180" w:lineRule="exact"/>
      <w:jc w:val="center"/>
    </w:pPr>
  </w:style>
  <w:style w:type="paragraph" w:styleId="30">
    <w:name w:val="Body Text Indent 3"/>
    <w:basedOn w:val="a"/>
    <w:semiHidden/>
    <w:pPr>
      <w:spacing w:before="400" w:line="223" w:lineRule="exact"/>
      <w:ind w:firstLine="301"/>
      <w:jc w:val="both"/>
    </w:pPr>
    <w:rPr>
      <w:b/>
      <w:sz w:val="22"/>
    </w:rPr>
  </w:style>
  <w:style w:type="paragraph" w:styleId="a9">
    <w:name w:val="List Paragraph"/>
    <w:basedOn w:val="a"/>
    <w:uiPriority w:val="34"/>
    <w:qFormat/>
    <w:rsid w:val="00100711"/>
    <w:pPr>
      <w:ind w:left="720"/>
      <w:contextualSpacing/>
    </w:pPr>
  </w:style>
  <w:style w:type="paragraph" w:customStyle="1" w:styleId="10">
    <w:name w:val="Знак1"/>
    <w:basedOn w:val="a"/>
    <w:rsid w:val="007626B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80" w:after="120" w:line="160" w:lineRule="exact"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spacing w:line="223" w:lineRule="exact"/>
      <w:ind w:firstLine="301"/>
      <w:jc w:val="right"/>
      <w:outlineLvl w:val="1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customStyle="1" w:styleId="Textosn">
    <w:name w:val="Text_osn"/>
    <w:basedOn w:val="a"/>
    <w:pPr>
      <w:spacing w:after="60" w:line="480" w:lineRule="atLeast"/>
      <w:ind w:firstLine="567"/>
      <w:jc w:val="both"/>
    </w:pPr>
    <w:rPr>
      <w:rFonts w:ascii="Baltica" w:hAnsi="Baltica"/>
      <w:sz w:val="28"/>
      <w:lang w:val="en-US"/>
    </w:rPr>
  </w:style>
  <w:style w:type="paragraph" w:customStyle="1" w:styleId="Ris">
    <w:name w:val="Ris"/>
    <w:basedOn w:val="Textosn"/>
    <w:pPr>
      <w:spacing w:line="240" w:lineRule="auto"/>
      <w:ind w:left="1701" w:hanging="1134"/>
    </w:pPr>
    <w:rPr>
      <w:lang w:val="ru-RU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4"/>
    </w:rPr>
  </w:style>
  <w:style w:type="paragraph" w:customStyle="1" w:styleId="Iauiue">
    <w:name w:val="Iau?iue"/>
  </w:style>
  <w:style w:type="paragraph" w:styleId="a6">
    <w:name w:val="Body Text Indent"/>
    <w:basedOn w:val="a"/>
    <w:semiHidden/>
    <w:pPr>
      <w:spacing w:line="223" w:lineRule="exact"/>
      <w:ind w:firstLine="301"/>
      <w:jc w:val="both"/>
    </w:pPr>
    <w:rPr>
      <w:sz w:val="22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spacing w:line="223" w:lineRule="exact"/>
      <w:jc w:val="both"/>
    </w:pPr>
    <w:rPr>
      <w:sz w:val="22"/>
    </w:rPr>
  </w:style>
  <w:style w:type="paragraph" w:styleId="21">
    <w:name w:val="Body Text Indent 2"/>
    <w:basedOn w:val="a"/>
    <w:semiHidden/>
    <w:pPr>
      <w:spacing w:line="223" w:lineRule="exact"/>
      <w:ind w:firstLine="301"/>
      <w:jc w:val="both"/>
    </w:pPr>
    <w:rPr>
      <w:rFonts w:ascii="Arial" w:hAnsi="Arial"/>
      <w:b/>
      <w:i/>
      <w:sz w:val="22"/>
    </w:rPr>
  </w:style>
  <w:style w:type="paragraph" w:styleId="3">
    <w:name w:val="Body Text 3"/>
    <w:basedOn w:val="a"/>
    <w:semiHidden/>
    <w:pPr>
      <w:spacing w:line="180" w:lineRule="exact"/>
      <w:jc w:val="center"/>
    </w:pPr>
  </w:style>
  <w:style w:type="paragraph" w:styleId="30">
    <w:name w:val="Body Text Indent 3"/>
    <w:basedOn w:val="a"/>
    <w:semiHidden/>
    <w:pPr>
      <w:spacing w:before="400" w:line="223" w:lineRule="exact"/>
      <w:ind w:firstLine="301"/>
      <w:jc w:val="both"/>
    </w:pPr>
    <w:rPr>
      <w:b/>
      <w:sz w:val="22"/>
    </w:rPr>
  </w:style>
  <w:style w:type="paragraph" w:styleId="a9">
    <w:name w:val="List Paragraph"/>
    <w:basedOn w:val="a"/>
    <w:uiPriority w:val="34"/>
    <w:qFormat/>
    <w:rsid w:val="00100711"/>
    <w:pPr>
      <w:ind w:left="720"/>
      <w:contextualSpacing/>
    </w:pPr>
  </w:style>
  <w:style w:type="paragraph" w:customStyle="1" w:styleId="10">
    <w:name w:val="Знак1"/>
    <w:basedOn w:val="a"/>
    <w:rsid w:val="007626B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TRY Ukraine</Company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grabovsky</dc:creator>
  <cp:lastModifiedBy>Семен</cp:lastModifiedBy>
  <cp:revision>2</cp:revision>
  <cp:lastPrinted>2000-01-10T10:39:00Z</cp:lastPrinted>
  <dcterms:created xsi:type="dcterms:W3CDTF">2023-10-27T08:50:00Z</dcterms:created>
  <dcterms:modified xsi:type="dcterms:W3CDTF">2023-10-27T08:50:00Z</dcterms:modified>
</cp:coreProperties>
</file>