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1A" w:rsidRDefault="0040141A" w:rsidP="0040141A">
      <w:pPr>
        <w:jc w:val="center"/>
        <w:rPr>
          <w:rFonts w:ascii="Times New Roman" w:hAnsi="Times New Roman"/>
          <w:caps/>
          <w:lang w:val="en-US"/>
        </w:rPr>
      </w:pPr>
      <w:r>
        <w:rPr>
          <w:rFonts w:ascii="Times New Roman" w:hAnsi="Times New Roman"/>
          <w:caps/>
          <w:lang w:val="uk-UA"/>
        </w:rPr>
        <w:t>Питання до заліку</w:t>
      </w:r>
    </w:p>
    <w:p w:rsidR="0040141A" w:rsidRDefault="0040141A" w:rsidP="00FA2F81">
      <w:pPr>
        <w:jc w:val="both"/>
        <w:rPr>
          <w:caps/>
          <w:szCs w:val="28"/>
          <w:lang w:val="uk-UA"/>
        </w:rPr>
      </w:pPr>
    </w:p>
    <w:p w:rsidR="0040141A" w:rsidRDefault="0040141A" w:rsidP="00FA2F81">
      <w:pPr>
        <w:widowControl w:val="0"/>
        <w:numPr>
          <w:ilvl w:val="0"/>
          <w:numId w:val="1"/>
        </w:numPr>
        <w:ind w:right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Короткі відомості про предмет, склад та задачі курсу. Його зв’язок з іншими дисциплінами учбового плану.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Класифікація речовин по провідності. Метали, напівпровідники, діелектрики. Загальна характеристика напівпровідників.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Загальна характеристика пружних хвиль в кристалах.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Хвилі в однорідному лінійному ланцюжку. Закон дисперсії для коливань. Швидкість поширення пружних хвиль.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Границі зміни та дискретність хвильового вектора. Фазова та групова швидкість.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Нормальні коливання. Повна енергія коливань атомів в</w:t>
      </w:r>
      <w:r>
        <w:rPr>
          <w:rFonts w:ascii="Times New Roman" w:hAnsi="Times New Roman"/>
          <w:noProof/>
          <w:lang w:val="uk-UA"/>
        </w:rPr>
        <w:t xml:space="preserve"> </w:t>
      </w:r>
      <w:r>
        <w:rPr>
          <w:rFonts w:ascii="Times New Roman" w:hAnsi="Times New Roman"/>
          <w:lang w:val="uk-UA"/>
        </w:rPr>
        <w:t>однорідному  лінійному ланцюгу.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Хвилі в лінійному ланцюгу, який складається із атомів двох типів, що чергуються. Акустичні та оптичні вітки коливань.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Хвилі в трьохмірному кристалі.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Фонони. Статистика фононів. (Статистика </w:t>
      </w:r>
      <w:proofErr w:type="spellStart"/>
      <w:r>
        <w:rPr>
          <w:rFonts w:ascii="Times New Roman" w:hAnsi="Times New Roman"/>
          <w:lang w:val="uk-UA"/>
        </w:rPr>
        <w:t>Бозе-Ейнштейна</w:t>
      </w:r>
      <w:proofErr w:type="spellEnd"/>
      <w:r>
        <w:rPr>
          <w:rFonts w:ascii="Times New Roman" w:hAnsi="Times New Roman"/>
          <w:lang w:val="uk-UA"/>
        </w:rPr>
        <w:t xml:space="preserve">).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Енергія коливань атомів </w:t>
      </w:r>
      <w:proofErr w:type="spellStart"/>
      <w:r>
        <w:rPr>
          <w:rFonts w:ascii="Times New Roman" w:hAnsi="Times New Roman"/>
          <w:lang w:val="uk-UA"/>
        </w:rPr>
        <w:t>гратки</w:t>
      </w:r>
      <w:proofErr w:type="spellEnd"/>
      <w:r>
        <w:rPr>
          <w:rFonts w:ascii="Times New Roman" w:hAnsi="Times New Roman"/>
          <w:lang w:val="uk-UA"/>
        </w:rPr>
        <w:t xml:space="preserve">. Температура </w:t>
      </w:r>
      <w:proofErr w:type="spellStart"/>
      <w:r>
        <w:rPr>
          <w:rFonts w:ascii="Times New Roman" w:hAnsi="Times New Roman"/>
          <w:lang w:val="uk-UA"/>
        </w:rPr>
        <w:t>Дебая</w:t>
      </w:r>
      <w:proofErr w:type="spellEnd"/>
      <w:r>
        <w:rPr>
          <w:rFonts w:ascii="Times New Roman" w:hAnsi="Times New Roman"/>
          <w:lang w:val="uk-UA"/>
        </w:rPr>
        <w:t xml:space="preserve">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Теплоємність кристалічної </w:t>
      </w:r>
      <w:proofErr w:type="spellStart"/>
      <w:r>
        <w:rPr>
          <w:rFonts w:ascii="Times New Roman" w:hAnsi="Times New Roman"/>
          <w:lang w:val="uk-UA"/>
        </w:rPr>
        <w:t>гратки</w:t>
      </w:r>
      <w:proofErr w:type="spellEnd"/>
      <w:r>
        <w:rPr>
          <w:rFonts w:ascii="Times New Roman" w:hAnsi="Times New Roman"/>
          <w:lang w:val="uk-UA"/>
        </w:rPr>
        <w:t xml:space="preserve">. </w:t>
      </w:r>
    </w:p>
    <w:p w:rsidR="0040141A" w:rsidRDefault="0040141A" w:rsidP="00FA2F81">
      <w:pPr>
        <w:numPr>
          <w:ilvl w:val="0"/>
          <w:numId w:val="1"/>
        </w:numPr>
        <w:jc w:val="both"/>
        <w:rPr>
          <w:caps/>
          <w:szCs w:val="28"/>
          <w:lang w:val="uk-UA"/>
        </w:rPr>
      </w:pPr>
      <w:r>
        <w:rPr>
          <w:rFonts w:ascii="Times New Roman" w:hAnsi="Times New Roman"/>
          <w:lang w:val="uk-UA"/>
        </w:rPr>
        <w:t>Теплове розширення твердих тіл.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Тверде тіло як система частин. Рівняння </w:t>
      </w:r>
      <w:proofErr w:type="spellStart"/>
      <w:r>
        <w:rPr>
          <w:rFonts w:ascii="Times New Roman" w:hAnsi="Times New Roman"/>
          <w:lang w:val="uk-UA"/>
        </w:rPr>
        <w:t>Шредінгера</w:t>
      </w:r>
      <w:proofErr w:type="spellEnd"/>
      <w:r>
        <w:rPr>
          <w:rFonts w:ascii="Times New Roman" w:hAnsi="Times New Roman"/>
          <w:lang w:val="uk-UA"/>
        </w:rPr>
        <w:t xml:space="preserve"> для кристала.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Загальна постановка для квантово-механічної задачі.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Адіабатичне наближення та валентна апроксимація. </w:t>
      </w:r>
      <w:proofErr w:type="spellStart"/>
      <w:r>
        <w:rPr>
          <w:rFonts w:ascii="Times New Roman" w:hAnsi="Times New Roman"/>
          <w:lang w:val="uk-UA"/>
        </w:rPr>
        <w:t>Одноелектронне</w:t>
      </w:r>
      <w:proofErr w:type="spellEnd"/>
      <w:r>
        <w:rPr>
          <w:rFonts w:ascii="Times New Roman" w:hAnsi="Times New Roman"/>
          <w:lang w:val="uk-UA"/>
        </w:rPr>
        <w:t xml:space="preserve"> наближення.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Рівняння </w:t>
      </w:r>
      <w:proofErr w:type="spellStart"/>
      <w:r>
        <w:rPr>
          <w:rFonts w:ascii="Times New Roman" w:hAnsi="Times New Roman"/>
          <w:lang w:val="uk-UA"/>
        </w:rPr>
        <w:t>Шредінгера</w:t>
      </w:r>
      <w:proofErr w:type="spellEnd"/>
      <w:r>
        <w:rPr>
          <w:rFonts w:ascii="Times New Roman" w:hAnsi="Times New Roman"/>
          <w:lang w:val="uk-UA"/>
        </w:rPr>
        <w:t xml:space="preserve"> для електронів в кристалі. Хвильова функція Блоха.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Наближення сильно зв’язаних електронів. Енергетичний спектр електронів в кристалі.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Граничні умови для хвильової функції електрону в кристалі (умови циклічності Борна-Кармана).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Число станів в енергетичній зоні.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Квазіімпульс.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Структура енергетичних зон. Зони </w:t>
      </w:r>
      <w:proofErr w:type="spellStart"/>
      <w:r>
        <w:rPr>
          <w:rFonts w:ascii="Times New Roman" w:hAnsi="Times New Roman"/>
          <w:lang w:val="uk-UA"/>
        </w:rPr>
        <w:t>Бріллюена</w:t>
      </w:r>
      <w:proofErr w:type="spellEnd"/>
      <w:r>
        <w:rPr>
          <w:rFonts w:ascii="Times New Roman" w:hAnsi="Times New Roman"/>
          <w:lang w:val="uk-UA"/>
        </w:rPr>
        <w:t xml:space="preserve">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Залежність енергії електрону від хвильового вектору у дна і стелі</w:t>
      </w:r>
      <w:r>
        <w:rPr>
          <w:rFonts w:ascii="Times New Roman" w:hAnsi="Times New Roman"/>
          <w:noProof/>
          <w:lang w:val="uk-UA"/>
        </w:rPr>
        <w:t xml:space="preserve"> </w:t>
      </w:r>
      <w:r>
        <w:rPr>
          <w:rFonts w:ascii="Times New Roman" w:hAnsi="Times New Roman"/>
          <w:lang w:val="uk-UA"/>
        </w:rPr>
        <w:t>енергетичної зони.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Ефективна маса носіїв заряду в кристалі. Тензор зворотної ефективної маси. Анізотропія ефективних мас.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Ізоенергетичні</w:t>
      </w:r>
      <w:proofErr w:type="spellEnd"/>
      <w:r>
        <w:rPr>
          <w:rFonts w:ascii="Times New Roman" w:hAnsi="Times New Roman"/>
          <w:lang w:val="uk-UA"/>
        </w:rPr>
        <w:t xml:space="preserve"> поверхні. Циклотронний резонанс як метод визначення ефективної маси носіїв заряду.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Зонна структура деяких напівпровідників (германія, кремнію, сполучень типу А</w:t>
      </w:r>
      <w:r>
        <w:rPr>
          <w:rFonts w:ascii="Times New Roman" w:hAnsi="Times New Roman"/>
          <w:vertAlign w:val="superscript"/>
          <w:lang w:val="uk-UA"/>
        </w:rPr>
        <w:t>ІІІ</w:t>
      </w: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vertAlign w:val="superscript"/>
          <w:lang w:val="uk-UA"/>
        </w:rPr>
        <w:t xml:space="preserve">V </w:t>
      </w:r>
      <w:r>
        <w:rPr>
          <w:rFonts w:ascii="Times New Roman" w:hAnsi="Times New Roman"/>
          <w:lang w:val="uk-UA"/>
        </w:rPr>
        <w:t>та А</w:t>
      </w:r>
      <w:r>
        <w:rPr>
          <w:rFonts w:ascii="Times New Roman" w:hAnsi="Times New Roman"/>
          <w:vertAlign w:val="superscript"/>
          <w:lang w:val="uk-UA"/>
        </w:rPr>
        <w:t>II</w:t>
      </w:r>
      <w:r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vertAlign w:val="superscript"/>
          <w:lang w:val="uk-UA"/>
        </w:rPr>
        <w:t>VI</w:t>
      </w:r>
      <w:r>
        <w:rPr>
          <w:rFonts w:ascii="Times New Roman" w:hAnsi="Times New Roman"/>
          <w:lang w:val="uk-UA"/>
        </w:rPr>
        <w:t xml:space="preserve">). Методи розрахунку та експериментального </w:t>
      </w:r>
      <w:r>
        <w:rPr>
          <w:rFonts w:ascii="Times New Roman" w:hAnsi="Times New Roman"/>
          <w:lang w:val="uk-UA"/>
        </w:rPr>
        <w:lastRenderedPageBreak/>
        <w:t>дослідження зонної структури напівпровідників.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Локалізовані стани у твердому тілі. Метод ефективної маси.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Елементарна теорія </w:t>
      </w:r>
      <w:proofErr w:type="spellStart"/>
      <w:r>
        <w:rPr>
          <w:rFonts w:ascii="Times New Roman" w:hAnsi="Times New Roman"/>
          <w:lang w:val="uk-UA"/>
        </w:rPr>
        <w:t>домішкових</w:t>
      </w:r>
      <w:proofErr w:type="spellEnd"/>
      <w:r>
        <w:rPr>
          <w:rFonts w:ascii="Times New Roman" w:hAnsi="Times New Roman"/>
          <w:lang w:val="uk-UA"/>
        </w:rPr>
        <w:t xml:space="preserve"> станів</w:t>
      </w:r>
      <w:r>
        <w:rPr>
          <w:rFonts w:ascii="Times New Roman" w:hAnsi="Times New Roman"/>
          <w:noProof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proofErr w:type="spellStart"/>
      <w:r>
        <w:rPr>
          <w:rFonts w:ascii="Times New Roman" w:hAnsi="Times New Roman"/>
          <w:lang w:val="uk-UA"/>
        </w:rPr>
        <w:t>воднеподібна</w:t>
      </w:r>
      <w:proofErr w:type="spellEnd"/>
      <w:r>
        <w:rPr>
          <w:rFonts w:ascii="Times New Roman" w:hAnsi="Times New Roman"/>
          <w:lang w:val="uk-UA"/>
        </w:rPr>
        <w:t xml:space="preserve"> модель, наближення радіуса екранування). Енергія іонізації домішок в напівпровідниках (германій, кремній та ін.).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Ексітони</w:t>
      </w:r>
      <w:proofErr w:type="spellEnd"/>
      <w:r>
        <w:rPr>
          <w:rFonts w:ascii="Times New Roman" w:hAnsi="Times New Roman"/>
          <w:lang w:val="uk-UA"/>
        </w:rPr>
        <w:t xml:space="preserve"> та ін. дефекти кристалічної </w:t>
      </w:r>
      <w:proofErr w:type="spellStart"/>
      <w:r>
        <w:rPr>
          <w:rFonts w:ascii="Times New Roman" w:hAnsi="Times New Roman"/>
          <w:lang w:val="uk-UA"/>
        </w:rPr>
        <w:t>гратки</w:t>
      </w:r>
      <w:proofErr w:type="spellEnd"/>
      <w:r>
        <w:rPr>
          <w:rFonts w:ascii="Times New Roman" w:hAnsi="Times New Roman"/>
          <w:lang w:val="uk-UA"/>
        </w:rPr>
        <w:t xml:space="preserve">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Статистичний підхід до опису складних систем. Функції розподілу Фермі-Дірака і </w:t>
      </w:r>
      <w:proofErr w:type="spellStart"/>
      <w:r>
        <w:rPr>
          <w:rFonts w:ascii="Times New Roman" w:hAnsi="Times New Roman"/>
          <w:lang w:val="uk-UA"/>
        </w:rPr>
        <w:t>Максвела-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Больцмана</w:t>
      </w:r>
      <w:proofErr w:type="spellEnd"/>
      <w:r>
        <w:rPr>
          <w:rFonts w:ascii="Times New Roman" w:hAnsi="Times New Roman"/>
          <w:lang w:val="uk-UA"/>
        </w:rPr>
        <w:t xml:space="preserve">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Розподіл Фермі-Дірака для електронів в напівпровіднику.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Густина квантових станів у дна вільної та стелі валентної зон.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Ефективна маса для густини станів.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Концентрація електронів і дірок. Інтеграл Фермі. Ефективна густина станів. Вироджений та </w:t>
      </w:r>
      <w:proofErr w:type="spellStart"/>
      <w:r>
        <w:rPr>
          <w:rFonts w:ascii="Times New Roman" w:hAnsi="Times New Roman"/>
          <w:lang w:val="uk-UA"/>
        </w:rPr>
        <w:t>невироджений</w:t>
      </w:r>
      <w:proofErr w:type="spellEnd"/>
      <w:r>
        <w:rPr>
          <w:rFonts w:ascii="Times New Roman" w:hAnsi="Times New Roman"/>
          <w:lang w:val="uk-UA"/>
        </w:rPr>
        <w:t xml:space="preserve"> напівпровідник. Критерій виродження.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Концентрація носіїв заряду і температура виродження.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Рівень Фермі у власному напівпровіднику. Енергія електронного газу. Середня енергія вільного електрону. </w:t>
      </w:r>
    </w:p>
    <w:p w:rsidR="0040141A" w:rsidRDefault="0040141A" w:rsidP="00FA2F81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Вираз концентрації носіїв заряду у власному напівпровіднику через ширину забороненої зони.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Донорна</w:t>
      </w:r>
      <w:proofErr w:type="spellEnd"/>
      <w:r>
        <w:rPr>
          <w:rFonts w:ascii="Times New Roman" w:hAnsi="Times New Roman"/>
          <w:lang w:val="uk-UA"/>
        </w:rPr>
        <w:t xml:space="preserve"> домішка в напівпровіднику.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Акцепторна домішка в напівпровіднику. Положення рівня Фермі та концентрація електронів і дірок.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Напівпровідник, що містить </w:t>
      </w:r>
      <w:proofErr w:type="spellStart"/>
      <w:r>
        <w:rPr>
          <w:rFonts w:ascii="Times New Roman" w:hAnsi="Times New Roman"/>
          <w:lang w:val="uk-UA"/>
        </w:rPr>
        <w:t>донорну</w:t>
      </w:r>
      <w:proofErr w:type="spellEnd"/>
      <w:r>
        <w:rPr>
          <w:rFonts w:ascii="Times New Roman" w:hAnsi="Times New Roman"/>
          <w:lang w:val="uk-UA"/>
        </w:rPr>
        <w:t xml:space="preserve"> і акцепторну домішки.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Домішкові</w:t>
      </w:r>
      <w:proofErr w:type="spellEnd"/>
      <w:r>
        <w:rPr>
          <w:rFonts w:ascii="Times New Roman" w:hAnsi="Times New Roman"/>
          <w:lang w:val="uk-UA"/>
        </w:rPr>
        <w:t xml:space="preserve"> зони. </w:t>
      </w:r>
    </w:p>
    <w:p w:rsidR="0040141A" w:rsidRDefault="0040141A" w:rsidP="00FA2F81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Залежність ширини забороненої зони від зовнішніх факторів.</w:t>
      </w:r>
    </w:p>
    <w:p w:rsidR="0071313D" w:rsidRDefault="00FA2F81"/>
    <w:sectPr w:rsidR="0071313D" w:rsidSect="00FA2F81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CYR"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0E31"/>
    <w:multiLevelType w:val="hybridMultilevel"/>
    <w:tmpl w:val="334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0141A"/>
    <w:rsid w:val="00197C3B"/>
    <w:rsid w:val="00312036"/>
    <w:rsid w:val="0040141A"/>
    <w:rsid w:val="004A402C"/>
    <w:rsid w:val="00F87A71"/>
    <w:rsid w:val="00FA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lab-9</dc:creator>
  <cp:lastModifiedBy>lab-9</cp:lastModifiedBy>
  <cp:revision>2</cp:revision>
  <dcterms:created xsi:type="dcterms:W3CDTF">2014-09-09T07:26:00Z</dcterms:created>
  <dcterms:modified xsi:type="dcterms:W3CDTF">2014-09-09T07:37:00Z</dcterms:modified>
</cp:coreProperties>
</file>