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C7" w:rsidRPr="008D37C7" w:rsidRDefault="008D37C7" w:rsidP="008D37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8D37C7">
        <w:rPr>
          <w:rFonts w:ascii="Times New Roman" w:hAnsi="Times New Roman" w:cs="Times New Roman"/>
          <w:b/>
          <w:sz w:val="24"/>
          <w:szCs w:val="24"/>
          <w:lang w:val="uk-UA"/>
        </w:rPr>
        <w:t>Перелік питань до ректорського контролю</w:t>
      </w:r>
      <w:bookmarkEnd w:id="0"/>
    </w:p>
    <w:p w:rsidR="008D37C7" w:rsidRPr="008D37C7" w:rsidRDefault="008D37C7" w:rsidP="008D37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Поняття парламенту  і парламентаризму, їх роль і значення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Виникнення понять «парламент» та «парламентаризм».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Роль парламенту та парламентаризму.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Значення парламентаризму: наукові погляди.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Теорія парламентаризму в роботах класиків політичної думки та сучасних учених. </w:t>
      </w:r>
    </w:p>
    <w:p w:rsidR="002D0B0A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Правові основи діяльності парламентів.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Історія становлення парламентів і парламентаризму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Історичні форми парламенту та парламентаризму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Парламентаризм і виборче право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Сутність парламентських реформ у країнах з президентською та парламентською формами правління.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Критерії порівняльного дослідження сучасних парламентів як базових елементів демократичної організації взаємовідносин держави і суспільства.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Перспективи розвитку режиму раціоналізованого парламентаризму в Україні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eastAsia="Times New Roman" w:hAnsi="Times New Roman" w:cs="Times New Roman"/>
          <w:sz w:val="24"/>
          <w:szCs w:val="24"/>
          <w:lang w:val="uk-UA" w:eastAsia="ru-RU" w:bidi="ar-SA"/>
        </w:rPr>
        <w:t>Структура парламентів</w:t>
      </w:r>
      <w:r w:rsidRPr="008D37C7">
        <w:rPr>
          <w:rFonts w:ascii="Times New Roman" w:eastAsia="Times New Roman" w:hAnsi="Times New Roman" w:cs="Times New Roman"/>
          <w:sz w:val="24"/>
          <w:szCs w:val="24"/>
          <w:lang w:val="uk-UA" w:eastAsia="ru-RU" w:bidi="ar-SA"/>
        </w:rPr>
        <w:t>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</w:pPr>
      <w:r w:rsidRPr="008D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  <w:t xml:space="preserve">Класифікація парламентів за різними критеріями.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</w:pPr>
      <w:r w:rsidRPr="008D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  <w:t xml:space="preserve">Структура парламентів: в англосаксонському праві, в </w:t>
      </w:r>
      <w:proofErr w:type="spellStart"/>
      <w:r w:rsidRPr="008D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  <w:t>континетальному</w:t>
      </w:r>
      <w:proofErr w:type="spellEnd"/>
      <w:r w:rsidRPr="008D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  <w:t xml:space="preserve"> </w:t>
      </w:r>
      <w:r w:rsidRPr="008D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  <w:t>праві. Парламентські комісії чи комітети</w:t>
      </w:r>
      <w:r w:rsidRPr="008D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  <w:t>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Структура, склад парламенті.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Функції та діяльність парламентів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>Внутрішня структура палат парламентів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Характеристика елементів структури парламентів: </w:t>
      </w:r>
      <w:proofErr w:type="spellStart"/>
      <w:r w:rsidRPr="008D37C7">
        <w:rPr>
          <w:rFonts w:ascii="Times New Roman" w:hAnsi="Times New Roman" w:cs="Times New Roman"/>
          <w:sz w:val="24"/>
          <w:szCs w:val="24"/>
          <w:lang w:val="uk-UA"/>
        </w:rPr>
        <w:t>парламентськi</w:t>
      </w:r>
      <w:proofErr w:type="spellEnd"/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D37C7">
        <w:rPr>
          <w:rFonts w:ascii="Times New Roman" w:hAnsi="Times New Roman" w:cs="Times New Roman"/>
          <w:sz w:val="24"/>
          <w:szCs w:val="24"/>
          <w:lang w:val="uk-UA"/>
        </w:rPr>
        <w:t>фракцiї</w:t>
      </w:r>
      <w:proofErr w:type="spellEnd"/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D37C7">
        <w:rPr>
          <w:rFonts w:ascii="Times New Roman" w:hAnsi="Times New Roman" w:cs="Times New Roman"/>
          <w:sz w:val="24"/>
          <w:szCs w:val="24"/>
          <w:lang w:val="uk-UA"/>
        </w:rPr>
        <w:t>керiвнi</w:t>
      </w:r>
      <w:proofErr w:type="spellEnd"/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 органи i </w:t>
      </w:r>
      <w:proofErr w:type="spellStart"/>
      <w:r w:rsidRPr="008D37C7">
        <w:rPr>
          <w:rFonts w:ascii="Times New Roman" w:hAnsi="Times New Roman" w:cs="Times New Roman"/>
          <w:sz w:val="24"/>
          <w:szCs w:val="24"/>
          <w:lang w:val="uk-UA"/>
        </w:rPr>
        <w:t>комiсiї</w:t>
      </w:r>
      <w:proofErr w:type="spellEnd"/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8D37C7">
        <w:rPr>
          <w:rFonts w:ascii="Times New Roman" w:hAnsi="Times New Roman" w:cs="Times New Roman"/>
          <w:sz w:val="24"/>
          <w:szCs w:val="24"/>
          <w:lang w:val="uk-UA"/>
        </w:rPr>
        <w:t>комiтети</w:t>
      </w:r>
      <w:proofErr w:type="spellEnd"/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Керівні органи парламентів (палат).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Роль голови парламенту та спікера та ін.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Парламенти і політичні партії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Порядок роботи Верховної Ради України.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Конституція України. Роль політичних партій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Групи депутатів із спільними політичним поглядами, коаліційні уряди.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Ефективність діяльності парламентських фракцій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Діяльність парламентів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Принципи формування постійних і спеціальних комітетів (комісій).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Моделі парламентської опозиції та робота коаліцій. 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Діяльність уряду парламенту у різних правових систем.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Порядок роботи парламентів. Сесія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D37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арламентські процедури.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Типи порядку діяльності парламенту: сесійний та </w:t>
      </w:r>
      <w:r w:rsidRPr="008D37C7">
        <w:rPr>
          <w:rFonts w:ascii="Times New Roman" w:hAnsi="Times New Roman" w:cs="Times New Roman"/>
          <w:iCs/>
          <w:sz w:val="24"/>
          <w:szCs w:val="24"/>
          <w:lang w:val="uk-UA"/>
        </w:rPr>
        <w:t>постійний.</w:t>
      </w:r>
      <w:r w:rsidRPr="008D37C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proofErr w:type="spellStart"/>
      <w:r w:rsidRPr="008D37C7">
        <w:rPr>
          <w:rFonts w:ascii="Times New Roman" w:hAnsi="Times New Roman" w:cs="Times New Roman"/>
          <w:iCs/>
          <w:sz w:val="24"/>
          <w:szCs w:val="24"/>
          <w:lang w:val="uk-UA"/>
        </w:rPr>
        <w:t>Чергові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> і поз</w:t>
      </w:r>
      <w:proofErr w:type="spellEnd"/>
      <w:r w:rsidRPr="008D37C7">
        <w:rPr>
          <w:rFonts w:ascii="Times New Roman" w:hAnsi="Times New Roman" w:cs="Times New Roman"/>
          <w:sz w:val="24"/>
          <w:szCs w:val="24"/>
          <w:lang w:val="uk-UA"/>
        </w:rPr>
        <w:t>ачергові (</w:t>
      </w:r>
      <w:r w:rsidRPr="008D37C7">
        <w:rPr>
          <w:rFonts w:ascii="Times New Roman" w:hAnsi="Times New Roman" w:cs="Times New Roman"/>
          <w:iCs/>
          <w:sz w:val="24"/>
          <w:szCs w:val="24"/>
          <w:lang w:val="uk-UA"/>
        </w:rPr>
        <w:t>надзвичайні) сесії.</w:t>
      </w:r>
      <w:r w:rsidRPr="008D37C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Процедура розпуску парламентів і палат.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bCs/>
          <w:sz w:val="24"/>
          <w:szCs w:val="24"/>
          <w:lang w:val="uk-UA"/>
        </w:rPr>
        <w:t>Пленарні засідання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Кворум.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Парламентські дебати.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Інститут голосування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Правовий статус депутата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Регламент Верховної Ради України.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Депутатський запит та звернення.</w:t>
      </w:r>
    </w:p>
    <w:sectPr w:rsidR="008D37C7" w:rsidRPr="008D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20F33"/>
    <w:multiLevelType w:val="hybridMultilevel"/>
    <w:tmpl w:val="874E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C7"/>
    <w:rsid w:val="008D37C7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C7"/>
    <w:pPr>
      <w:widowControl w:val="0"/>
      <w:spacing w:after="0"/>
    </w:pPr>
    <w:rPr>
      <w:rFonts w:ascii="Arial" w:eastAsia="Arial" w:hAnsi="Arial" w:cs="Arial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7C7"/>
    <w:rPr>
      <w:b/>
      <w:bCs/>
    </w:rPr>
  </w:style>
  <w:style w:type="paragraph" w:styleId="a4">
    <w:name w:val="List Paragraph"/>
    <w:basedOn w:val="a"/>
    <w:uiPriority w:val="34"/>
    <w:qFormat/>
    <w:rsid w:val="008D37C7"/>
    <w:pPr>
      <w:ind w:left="720"/>
      <w:contextualSpacing/>
    </w:pPr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C7"/>
    <w:pPr>
      <w:widowControl w:val="0"/>
      <w:spacing w:after="0"/>
    </w:pPr>
    <w:rPr>
      <w:rFonts w:ascii="Arial" w:eastAsia="Arial" w:hAnsi="Arial" w:cs="Arial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7C7"/>
    <w:rPr>
      <w:b/>
      <w:bCs/>
    </w:rPr>
  </w:style>
  <w:style w:type="paragraph" w:styleId="a4">
    <w:name w:val="List Paragraph"/>
    <w:basedOn w:val="a"/>
    <w:uiPriority w:val="34"/>
    <w:qFormat/>
    <w:rsid w:val="008D37C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2023-11-20T13:20:00Z</dcterms:created>
  <dcterms:modified xsi:type="dcterms:W3CDTF">2023-11-20T13:26:00Z</dcterms:modified>
</cp:coreProperties>
</file>