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8A7" w14:textId="137A9150" w:rsidR="007A2459" w:rsidRPr="00EF3D69" w:rsidRDefault="00EF3D69" w:rsidP="00EF3D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D6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14:paraId="241BB359" w14:textId="6450D563" w:rsidR="00EF3D69" w:rsidRPr="00BE5A69" w:rsidRDefault="00EF3D69" w:rsidP="00EF3D69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 w:val="24"/>
          <w:szCs w:val="24"/>
          <w:lang w:val="uk-UA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курсу «</w:t>
      </w:r>
      <w:r>
        <w:rPr>
          <w:rFonts w:ascii="Times New Roman" w:eastAsia="MS Mincho" w:hAnsi="Times New Roman" w:cs="Times New Roman"/>
          <w:b/>
          <w:bCs/>
          <w:color w:val="000000"/>
          <w:kern w:val="0"/>
          <w:sz w:val="28"/>
          <w:szCs w:val="28"/>
          <w:lang w:val="uk-UA"/>
          <w14:ligatures w14:val="none"/>
        </w:rPr>
        <w:t>ПОВЕДІНКОВА ЕКОНОМІКА ТА РИЗИК</w:t>
      </w:r>
      <w:r>
        <w:rPr>
          <w:rFonts w:ascii="Times New Roman" w:eastAsia="MS Mincho" w:hAnsi="Times New Roman" w:cs="Times New Roman"/>
          <w:b/>
          <w:bCs/>
          <w:color w:val="000000"/>
          <w:kern w:val="0"/>
          <w:sz w:val="28"/>
          <w:szCs w:val="28"/>
          <w:lang w:val="uk-UA"/>
          <w14:ligatures w14:val="none"/>
        </w:rPr>
        <w:t>»</w:t>
      </w:r>
    </w:p>
    <w:p w14:paraId="172E6A07" w14:textId="55BC2C3B" w:rsidR="00EF3D69" w:rsidRPr="00EF3D69" w:rsidRDefault="00EF3D69" w:rsidP="00EF3D69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9C4BC" w14:textId="77777777" w:rsidR="00EF3D69" w:rsidRPr="00BE5A69" w:rsidRDefault="00EF3D69" w:rsidP="00EF3D69">
      <w:pPr>
        <w:spacing w:after="0" w:line="240" w:lineRule="auto"/>
        <w:ind w:left="426" w:hanging="426"/>
        <w:jc w:val="center"/>
        <w:rPr>
          <w:rFonts w:ascii="Times New Roman" w:eastAsia="MS Mincho" w:hAnsi="Times New Roman" w:cs="Times New Roman"/>
          <w:color w:val="000000"/>
          <w:kern w:val="0"/>
          <w:sz w:val="28"/>
          <w:szCs w:val="28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>Основна</w:t>
      </w:r>
    </w:p>
    <w:p w14:paraId="3E1D6884" w14:textId="3E8071B5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Балджи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М. Д. Економічний ризик та методи його вимірювання</w:t>
      </w:r>
      <w:r w:rsidR="0087543C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: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="0087543C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авч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посібник.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Харьків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Промарт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, 2015. 300 с.</w:t>
      </w:r>
    </w:p>
    <w:p w14:paraId="093F727D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2.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  <w:t xml:space="preserve">Васильєва Т. А.,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Лєонов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С. В., Кривич Я. М. Економічний ризик: методи оцінки та управління: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навч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посібник; під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заг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ред. д-ра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екон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 наук, проф. Т. А. Васильєвої,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канд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екон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 наук Я. М. Кривич. Суми: ДВНЗ “УАБС НБУ”, 2015. 208 с.</w:t>
      </w:r>
    </w:p>
    <w:p w14:paraId="6217D36A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3.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Гранатуров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В. М., Шевчук О. Б. Ризики підприємницької діяльності: Проблеми аналізу. Київ: Зв'язок, 2020. 152 с.</w:t>
      </w:r>
    </w:p>
    <w:p w14:paraId="47167794" w14:textId="77777777" w:rsidR="00EF3D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4.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Посохов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І. М. Управління ризиками у підприємництві: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навч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посібник Харків : НТУ «ХПІ», 2015. 220 c.</w:t>
      </w:r>
    </w:p>
    <w:p w14:paraId="3131E654" w14:textId="1C6591D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5.  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Череп А. В., Кущик А. П. Економічний ризик та його оцінка: </w:t>
      </w: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підручник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Запоріжжя: ЗНУ, 20</w:t>
      </w: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2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3. 264 с</w:t>
      </w:r>
    </w:p>
    <w:p w14:paraId="43F63C16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</w:p>
    <w:p w14:paraId="586BF13B" w14:textId="77777777" w:rsidR="00EF3D69" w:rsidRPr="00BE5A69" w:rsidRDefault="00EF3D69" w:rsidP="00EF3D69">
      <w:pPr>
        <w:spacing w:after="0" w:line="240" w:lineRule="auto"/>
        <w:ind w:left="426" w:hanging="426"/>
        <w:jc w:val="center"/>
        <w:rPr>
          <w:rFonts w:ascii="Times New Roman" w:eastAsia="MS Mincho" w:hAnsi="Times New Roman" w:cs="Times New Roman"/>
          <w:color w:val="000000"/>
          <w:kern w:val="0"/>
          <w:sz w:val="28"/>
          <w:szCs w:val="28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>Додаткова</w:t>
      </w:r>
    </w:p>
    <w:p w14:paraId="40124B16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  <w:t xml:space="preserve">Абрамова О. Методика експертної оцінки варіантів проектів прийняття рішень.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Укр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ін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вест.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журн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Welcome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2014. № 12.  С. 33-45.</w:t>
      </w:r>
    </w:p>
    <w:p w14:paraId="18D75EFD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2.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  <w:t xml:space="preserve">Андреєва Г. Є., Петровська Г. Е. Ризик у ринковій економіці: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навч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посібник. Харків: Бурун Книга, 2005.</w:t>
      </w:r>
    </w:p>
    <w:p w14:paraId="1963DB24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3.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Андрейчикова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А. Н.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Неопределенность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как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источник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возникновения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риска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зкономической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деятельности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Академ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огляд. 2017. № 1. С. 71-75.</w:t>
      </w:r>
    </w:p>
    <w:p w14:paraId="26DAB5A4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4.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  <w:t xml:space="preserve">Гуменюк В.Я., Міщук Г.Ю., Олійник О.О. Управління ризиками 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навч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посіб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.;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Нац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ун-т вод. госп-ва та природокористування. Рівне : НУВГП, 2010. 158 с.</w:t>
      </w:r>
    </w:p>
    <w:p w14:paraId="2F772BF2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5.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Канеман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Даниэль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Думай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медленно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...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решай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быстро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Москва: АСТ, 2014. 653 с.</w:t>
      </w:r>
    </w:p>
    <w:p w14:paraId="09DDB4D0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6.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Кігель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В. Методи і моделі підтримки прийняття рішень у ринковій економіці: монографія. Київ: ЦУЛ, 2018. 202 с.</w:t>
      </w:r>
    </w:p>
    <w:p w14:paraId="196E577F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7.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  <w:t>Кущик А. П. Управління фінансовими ризиками: конспект лекцій. Запоріжжя: ЗНУ, 2016.-109 с.</w:t>
      </w:r>
    </w:p>
    <w:p w14:paraId="391F6500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8.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Овчинников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 І.О.  Технологія  оцінки  ризиків  в  процесі  управління ризиками на прикладі методу VAR.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Электрон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дан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Інститут економіки  та  менеджменту: електронне наукове фахове видання. 2017. 213 с. URL: www.nbuv.gov.ua/e-journals/PSPE/2007-1/index.html.</w:t>
      </w:r>
    </w:p>
    <w:p w14:paraId="04727DE1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9.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  <w:t xml:space="preserve">Хіт Роберт. Кризовий менеджмент для керівників: пер. с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англ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Київ: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Всеувито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; Наук, думка, 2002. 566 с.</w:t>
      </w:r>
    </w:p>
    <w:p w14:paraId="36DDFA3D" w14:textId="793FE8DB" w:rsidR="00EF3D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10.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Капелюшников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Р.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Поведенческая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экономика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и «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новый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»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патернализм</w:t>
      </w:r>
      <w:proofErr w:type="spellEnd"/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</w:t>
      </w:r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i/>
          <w:iCs/>
          <w:color w:val="000000"/>
          <w:kern w:val="0"/>
          <w:sz w:val="24"/>
          <w:szCs w:val="24"/>
          <w:lang w:val="uk-UA"/>
          <w14:ligatures w14:val="none"/>
        </w:rPr>
        <w:t>Вопросы</w:t>
      </w:r>
      <w:proofErr w:type="spellEnd"/>
      <w:r w:rsidRPr="00EF3D69">
        <w:rPr>
          <w:rFonts w:ascii="Times New Roman" w:eastAsia="MS Mincho" w:hAnsi="Times New Roman" w:cs="Times New Roman"/>
          <w:i/>
          <w:iCs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i/>
          <w:iCs/>
          <w:color w:val="000000"/>
          <w:kern w:val="0"/>
          <w:sz w:val="24"/>
          <w:szCs w:val="24"/>
          <w:lang w:val="uk-UA"/>
          <w14:ligatures w14:val="none"/>
        </w:rPr>
        <w:t>экономики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 2013.</w:t>
      </w: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№ 9. С. 66–90.</w:t>
      </w:r>
    </w:p>
    <w:p w14:paraId="2817BB99" w14:textId="5B43108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11.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Ястремський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О. І. Моделювання економічного ризику. Київ: Либідь, 2012. 176 с.</w:t>
      </w:r>
    </w:p>
    <w:p w14:paraId="3184B6B9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12.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Crouhy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M.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Galai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D.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Risk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management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Mark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McGraw-Hill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, 2011. 717 p.</w:t>
      </w:r>
    </w:p>
    <w:p w14:paraId="4B629E63" w14:textId="77777777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13.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Kushchik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A. P.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Diagnostics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and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substantiation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of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competitive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advantages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of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commercial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bank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Вісник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Запоріз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Нац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універ: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Зб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наукових праць. Економічні науки. №1 (45) Запоріжжя: ЗНУ, 2020. С.30-35.</w:t>
      </w:r>
    </w:p>
    <w:p w14:paraId="21632B3C" w14:textId="77777777" w:rsidR="00EF3D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14.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Lovallo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D.,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Sibony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O.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The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case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for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behavioral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strategy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McKinsey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Quarterly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,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March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2010, p. 1–16.</w:t>
      </w:r>
    </w:p>
    <w:p w14:paraId="015AED09" w14:textId="0DCAC321" w:rsidR="00EF3D69" w:rsidRPr="00BE5A69" w:rsidRDefault="00EF3D69" w:rsidP="00EF3D69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15. 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Heukelom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F.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Who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are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the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Behavioral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Economists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and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what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do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they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say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?.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Amsterdam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: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Tinbergen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Institute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Discussion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Paper</w:t>
      </w:r>
      <w:proofErr w:type="spellEnd"/>
      <w:r w:rsidRPr="00EF3D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, 2007. 48 p</w:t>
      </w:r>
    </w:p>
    <w:p w14:paraId="2E576E3C" w14:textId="141E1CA9" w:rsidR="00EF3D69" w:rsidRPr="00EF3D69" w:rsidRDefault="00EF3D69" w:rsidP="00EF3D69">
      <w:pPr>
        <w:ind w:left="426" w:hanging="426"/>
        <w:jc w:val="both"/>
        <w:rPr>
          <w:lang w:val="en-US"/>
        </w:rPr>
      </w:pP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1</w:t>
      </w: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6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</w:t>
      </w:r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ab/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Yudkowsky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E.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Cognitive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biases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potentially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affecting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judgement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of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global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risks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Global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Catastrophic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Risks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,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eds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Nick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Bostrom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and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Milan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Cirkovic</w:t>
      </w:r>
      <w:proofErr w:type="spellEnd"/>
      <w:r w:rsidRPr="00BE5A69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. 2008. P. 91–119.</w:t>
      </w:r>
    </w:p>
    <w:sectPr w:rsidR="00EF3D69" w:rsidRPr="00E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69"/>
    <w:rsid w:val="0009578F"/>
    <w:rsid w:val="003B66C2"/>
    <w:rsid w:val="007A2459"/>
    <w:rsid w:val="0087543C"/>
    <w:rsid w:val="00D07821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E18C"/>
  <w15:chartTrackingRefBased/>
  <w15:docId w15:val="{8760CD47-7C49-4E33-B8F8-E6D6DFE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3</cp:revision>
  <dcterms:created xsi:type="dcterms:W3CDTF">2023-12-01T13:51:00Z</dcterms:created>
  <dcterms:modified xsi:type="dcterms:W3CDTF">2023-12-01T14:03:00Z</dcterms:modified>
</cp:coreProperties>
</file>