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E7A" w:rsidRPr="00640E7A" w:rsidRDefault="00640E7A" w:rsidP="00640E7A">
      <w:pPr>
        <w:shd w:val="clear" w:color="auto" w:fill="FFFFFF"/>
        <w:spacing w:before="150" w:after="0" w:line="240" w:lineRule="auto"/>
        <w:outlineLvl w:val="1"/>
        <w:rPr>
          <w:rFonts w:ascii="Constantia Bold" w:eastAsia="Times New Roman" w:hAnsi="Constantia Bold" w:cs="Times New Roman"/>
          <w:b/>
          <w:bCs/>
          <w:color w:val="895F30"/>
          <w:spacing w:val="-15"/>
          <w:sz w:val="38"/>
          <w:szCs w:val="38"/>
          <w:lang w:eastAsia="uk-UA"/>
        </w:rPr>
      </w:pPr>
      <w:hyperlink r:id="rId5" w:tooltip="МОВНИЙ ЕТИКЕТ У ХУДОЖНЬО-ЛІТЕРАТУРНОМУ ДИСКУРСІ" w:history="1">
        <w:r w:rsidRPr="00640E7A">
          <w:rPr>
            <w:rFonts w:ascii="Constantia Bold" w:eastAsia="Times New Roman" w:hAnsi="Constantia Bold" w:cs="Times New Roman"/>
            <w:b/>
            <w:bCs/>
            <w:color w:val="895F30"/>
            <w:spacing w:val="-15"/>
            <w:sz w:val="38"/>
            <w:szCs w:val="38"/>
            <w:lang w:eastAsia="uk-UA"/>
          </w:rPr>
          <w:t>МОВНИЙ ЕТИКЕТ У ХУДОЖНЬО-ЛІТЕРАТУРНОМУ ДИСКУРСІ</w:t>
        </w:r>
      </w:hyperlink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i/>
          <w:iCs/>
          <w:color w:val="000000"/>
          <w:sz w:val="21"/>
          <w:szCs w:val="21"/>
          <w:lang w:eastAsia="uk-UA"/>
        </w:rPr>
        <w:t>Н. С. Голікова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МОВНИЙ ЕТИКЕТ У ХУДОЖНЬО-ЛІТЕРАТУРНОМУ ДИСКУРСІ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Розглядається мовний етикет як система узвичаєних формул і форм вираження ввічливості, його реалізація в художньо-літературному дискурсі, а також специфіка трансформацій мовного етикету в мовленнєвий етикет.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br/>
        <w:t>Ключові слова: мовний етикет, мовленнєвий етикет, текст, дискурс, ху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дож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ньо-літературний дискурс.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Рассматривается языковой этикет как система традиционных формул и форм выражения уважения, его реализация в художественно-литера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softHyphen/>
        <w:t>тур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softHyphen/>
        <w:t>ном дискурсе, а также специфика трансформаций языкового этикета в ре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softHyphen/>
        <w:t>чевой этикет.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Ключевые слова: языковой этикет, речевой этикет, текст, дискурс, худо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жест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венно-литературный дискурс.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The language etiquette as a system of customary formulas and expressions of politeness, its realization in artistic and literary discourse, and specificity of transformation language etiquette in speech etiquette is considered.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Key words: language etiquette, speech etiquette, text, discourse, artistic and literary discourse 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Культура мови – це проблема, яка так чи інакше наявна в будь-якій національній спільноті і буває предметом публічного обгово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рення та пильної уваги не тільки мовознавців, але й пись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менників, журналістів, усіх людей, не байдужих до виражальних мож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ливостей слова, до престижу своєї мови. Основними склад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ни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ками культури мови є передусім досконале володіння нормами най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важливішої лінгвально-суспільної форми – літературної на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ціо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нальної мови, їх глибоке усвідомлення, уміння користува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тися всім ар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сеналом мов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них засобів залежно від умов, мети і змісту спілкування.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Запорукою позитивної, успішної комунікації в усіх її виявах є, без сумніву, мовний етикет – система стійких лінгвальних виразів, словесних форм увічливості, нормативно закріплених у пев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ному суспільстві для встановлення контакту між співроз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мов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никами. Разом із узвичаєними правилами поведінки мовно-етикетні формули обов’язково супроводжують стандартні си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туації при встановленні, підтриманні та завершенні спілкування комунікантів.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Етикет загалом та його мовний різновид зокрема україністи активно почали досліджувати тільки в другій половині ХХ ст. Причому лінгвальні вияви ввічливої поведінки розглядалися і вивчаються тепер переважно у зв’язку з історією української культури, стилістикою і культурою української мови. Такому ана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лізу мовного етикету та його складників присвятили свої праці С. Богдан, Н. Журавльова, А. Коваль, В. Костенко, Я. Раде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вич-Винницький, М. Стельмахович, Л. Струганець, Є. Чак та ін.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br/>
        <w:t>Нова лінгвістична парадигма, яка по-своєму формується на початку ХХІ ст., помітно багатоаспектніша. Вона спирається не тільки на традиційне системно-структурне розуміння предмета до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слідження, але й визначає сутність мови як антропоцентрич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ного, а в деяких концепціях і теоантропокосмічного явища [3, с. 34], у якому визначальне місце належить людському простору, його філософському осмисленню.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Неабиякий інтерес до мовленнєвого етикету як різновиду мовного етикету в його реалізації в наш час пов’язаний із по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силеною увагою вчених до проблем спілкування, викликаною досягненнями теоретичної лінгвістики та суміжних з нею наук. На сучасному етапі розвитку україністики успішно вивчаються висловлення і текст, функціонування мови в різних суспільних сферах діяльності, взаємодія мови і суспільства, співвідношення вербальних і невербальних засобів спілкування тощо. На думку Н. Формановської, такі маргінальні науки, як соціолінгвістика, психолінгвістика, етнолінгвістика, паралінгвістика, лінгвокраїно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знавство, а також когнітивна, комунікативна і прагматична лінг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віс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тики відображають у кінцевому результаті одне й те саме праг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нен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ня пізнати важливу проблему сьогодення – мова і людина, в ас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пек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ті якої доречно розглянути й мовно-мовленнєвий етикет [12, с. 4].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Метою нашого дослідження є вивчення мовно-етикетних за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собів у літературному дискурсі, оскільки художній текст «у дії» дозволяє найточніше виявити динаміку формул увічливості, які з абстрактно-мовних етикетих слів і виразів перетворються на мов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леннєво-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lastRenderedPageBreak/>
        <w:t>комунікативні, зберігаючи або певною мірою втра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чаючи стандартність, стійкість, набуваючи нових варіантів, се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мантичних відтінків і нашарувань.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Вирішення проблеми реалізації засобів мовного етикету в ху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дожній літературі з огляду на досягнення філософсько-лінг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вістич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них напрямів сучасної науки потребує коментарів щодо співвіднесення таких близьких понять, як текст і дискурс. Як зазначає К. Серажим, «наукова біографія» терміна </w:t>
      </w:r>
      <w:r w:rsidRPr="00640E7A">
        <w:rPr>
          <w:rFonts w:ascii="Constantia Bold" w:eastAsia="Times New Roman" w:hAnsi="Constantia Bold" w:cs="Times New Roman"/>
          <w:b/>
          <w:bCs/>
          <w:i/>
          <w:iCs/>
          <w:color w:val="000000"/>
          <w:sz w:val="21"/>
          <w:szCs w:val="21"/>
          <w:lang w:eastAsia="uk-UA"/>
        </w:rPr>
        <w:t>дискурс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по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ча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лася ще на зорі гуманітарної науки людства в ан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тичні часи, проте його значення не усталилося й досі. Незва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жаючи на те, що цим поняттям послуговуються понад дві тисячі років, тільки на початку 1970-х років, коли сформувалася нова течія – лінгвістика тексту, виникла потреба чіткого окреслення предмета її до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слідження, а отже, чіткого визначення сутності цих двох ключо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вих понять – тексту і дискурсу. Основну відмінність між ними вперше сформулював Е. Бенвеніст: дискурс ним було визначено як процес застосування мовної системи, а текст – як результат цього процесу [11, с. 9–10].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br/>
        <w:t>Теорія дискурсу є одним із провідних напрямів світової лінгвістики і всебічно та різноаспектно висвітлюється в працях багатьох зарубіжних і вітчизняних лінгвістів. Дискурс найчастіше відносять до найважливіших категорій мовної комунікації. На дум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ку українського мовознавця Ф. Бацевича, дискурс, як і мов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леннєвий акт, у найширшому розумінні асоціюється з усіма виявами комунікації – контактної і дистантної, діахронічної й син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хро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нічної, усної й писемної тощо. Саме писемний дискурс най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частіше пов’язують із поняттям тексту, що постає як «вичерпа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ний», «зупинений» дискурс [2, с. 166].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Одним із найдавніших дискурсів/текстів є художньо-літе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ратурний, у якому постійно взаємодіють автор і читач як адре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сант і адресат, причому перетворення художнього тексту, як і будь-якого іншого, на дискурс здійснюється багатьма читачами по-різному, що залежить від низки чинників – соціальних, гене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тичних, фізіологічних, психологічних тощо. Головне – ні спосте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рігати за цим, ні контролювати цього автор не може.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Незважаючи на відсутність безпосереднього контакту між ав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тором і читачами, комунікативний вплив адресанта на численних адресатів є очевидно позитивним, якщо автор-письменник без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доганно володіє мовною системою і вміє індивідуалізувати кожну лінгвальну одиницю у своєму тексті. Таким, без сумніву, є ви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датний український белетрист П. Загребельний, у романах якого, зокре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ма, мовно-етикетні форми і вирази, які стали пред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метом на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шо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го дослідження, завжди на своєму місці, вони є одним із запро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грамованих автором факторів комунікативного впливу на читачів.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У новій лінгвістичній парадигмі, яка включає різні аспекти ха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рактеристики дихотомії </w:t>
      </w:r>
      <w:r w:rsidRPr="00640E7A">
        <w:rPr>
          <w:rFonts w:ascii="Constantia Bold" w:eastAsia="Times New Roman" w:hAnsi="Constantia Bold" w:cs="Times New Roman"/>
          <w:b/>
          <w:bCs/>
          <w:i/>
          <w:iCs/>
          <w:color w:val="000000"/>
          <w:sz w:val="21"/>
          <w:szCs w:val="21"/>
          <w:lang w:eastAsia="uk-UA"/>
        </w:rPr>
        <w:t>мова і людина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, як зазначалося вище, визначальне місце належить людському простору, мовознавчому обґрунтуванню дій і помислів не тільки, скажімо, героїв художніх творів, але і їхніх авторів. Виходячи із теорії прагматичного аналізу дискурсу, що оперує такими важливими поняттями, як </w:t>
      </w:r>
      <w:r w:rsidRPr="00640E7A">
        <w:rPr>
          <w:rFonts w:ascii="Constantia Bold" w:eastAsia="Times New Roman" w:hAnsi="Constantia Bold" w:cs="Times New Roman"/>
          <w:b/>
          <w:bCs/>
          <w:i/>
          <w:iCs/>
          <w:color w:val="000000"/>
          <w:sz w:val="21"/>
          <w:szCs w:val="21"/>
          <w:lang w:eastAsia="uk-UA"/>
        </w:rPr>
        <w:t>комунікативна поведінка, комунікативний паспорт людини, мовленнєвий паспорт людини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, уведеними в науковий обіг Й. Стер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ніним, П. Загребельного можемо назвати «гросмейстером спілкування», адже письменник володіє всіма складниками мовно-комунікативного кодексу, промовистим словом таланови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то впливає на читача не тільки в стандартних етикетно-спіл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куваль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них ситуаціях, але і в нестандартних (іноді антиетикетних) випадках комунікації.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br/>
        <w:t>Система мовно-етикетних одиниць закріпила ряди спеціа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лізо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ваних форм і фразеологізованих формул, які спілкувальники протягом прожитого дня використовують десятки й сотні разів, чемно вітаючись, прощаючись, звертаючись один до одного, ба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жаючи добра, успіхів тощо, подеколи вони роблять це цілком авто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матично. У художньому тексті послідовне використання лінг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вальних засобів увічливої поведінки не є обов’язковим, да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леко не всі з них письменники використовують у своїх творах узагалі.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У прозі П. Загребельного спостерігаються, по суті, етикетні кліше всіх семантико-комунікативних різновидів, однак деякі з них вживаються автором украй рідко. Скажімо, нам важко собі уявити встановлення контакту без вітання. В українській мові здавна склалася надзвичайно розгалужена система вітально-етикетних форм і виразів. Наприклад: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Добрий ранок! Доброго ранку! Добрий день! Доброго дня! Добрий вечір! Доброго вечора! Моє шанування! Вітаю! Привіт! Здоровенькі були! Здрастуй(-те)! Дай, Боже, щастя! Слава Ісусу Христу! Слава Україні!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тощо [4, с. 12]. У творах П. Загребельного мовленнєве впрова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дження таких одиниць увічливості відзначається малопродуктив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 xml:space="preserve">ністю. 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lastRenderedPageBreak/>
        <w:t>Скупий набір формул вітання в авторській мові відображає тенденцію до редукування системи нормативних мовно-етикет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них засобів, які зазвичай спілкувальники використовують фор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мально, не завжди вкладаючи в них усі можливі відтінки поша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нів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ного ставлення до людей, з якими вітаються, а в художньо-літера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турному дискурсі кожне слово вартісне, за ідейно-тематич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ним задумом автора, текст загалом містить тільки потрібну інформацію.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Наприклад, герої романів «Смерть у Києві», «Я, Богдан», «Брухт», «Безслідний Лукас» зрідка вітаються так: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Здоров будь!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(«Смерть у Києві»);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Слава гетьману!, Шана!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(«Я, Богдан»);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Вітаю!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,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Гратулюю!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,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Віншую!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(«Брухт»);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Хелло!, Хауді!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(«Без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слідний Лукас»). І це все. Зрозуміло, розмістити поряд в одній низці зазначені форми вітання можна лише умовно. Такий набір етикетних засобів не є системою, адже відображає неоднотипні спілку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вальні ситуації, він також певною мірою порушує націо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наль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но-етнічний характер українського мовного етикету, ос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кіль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ки включає слова німецького й англійського походження, не зовсім пристосовані до спілкування українців тощо. Цей ряд оди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ниць вітання обов’язково потребує коментарів, звернення до зовсім різних за змістом, часовим простором і людськими факто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рами художніх творів, де вони використовуються.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br/>
        <w:t>Так, вітання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Здоров будь! –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єдина етикетна формула, помі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чена в романі «Смерть у Києві»,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яка чи не найчастіше зустрі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чається у творі порівняно з усіма зазначеними вище вітальними одиницями. Конкретизуючись у тексті як мовленнєво-комуніка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тив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ний вираз, вона декілька разів семантично й структурно транс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формується. Крім того, неодноразово поєднується зі звер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тан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ням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князю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, утворюючи цілісну етикетну формулу, яка оці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ню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ється читачами швидше як одиниця дискурсу, прогнозованого автор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ським текстом. Порівняймо вирази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Здоров будь, князю!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[8, с. 112] і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Будь здоровий, князю!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[8, с. 116]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.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На перший погляд, вони від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різняються лише порядком слів і граматичними формами опор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ного слова, однак прагматичний аналіз літературного дискурсу за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свідчує, що перший із них є формулою вітання, а другий – побажання, що в одному й тому самому міні-контексті з огляду на описану автором поведінку учасників ситуації набуває одно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часно позитивного й негативного значення, що веде до створення девіації (збою, невдачі) в комунікативному акті. Спираючись на ме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дику прагматичного аналізу дискурсу, запропоновану Ф. Ба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це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вичем [1, с. 269–274], порівняймо, яке комунікативне наван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таження несе одна й та сама етикетна формула в авторському контексті: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…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вершник… упізнав князя Юрія, вклонився:</w:t>
      </w:r>
    </w:p>
    <w:p w:rsidR="00640E7A" w:rsidRPr="00640E7A" w:rsidRDefault="00640E7A" w:rsidP="00640E7A">
      <w:pPr>
        <w:numPr>
          <w:ilvl w:val="0"/>
          <w:numId w:val="1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i/>
          <w:iCs/>
          <w:color w:val="000000"/>
          <w:sz w:val="21"/>
          <w:szCs w:val="21"/>
          <w:lang w:eastAsia="uk-UA"/>
        </w:rPr>
        <w:t>Здоров будь, князю!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[8, с. 112] (тобто добрий день, вітаю тебе) – формула вітання.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Не забувай, князю, що ми твої коні, не бійся вкладати вудила нам в уста і </w:t>
      </w:r>
      <w:r w:rsidRPr="00640E7A">
        <w:rPr>
          <w:rFonts w:ascii="Constantia Bold" w:eastAsia="Times New Roman" w:hAnsi="Constantia Bold" w:cs="Times New Roman"/>
          <w:b/>
          <w:bCs/>
          <w:i/>
          <w:iCs/>
          <w:color w:val="000000"/>
          <w:sz w:val="21"/>
          <w:szCs w:val="21"/>
          <w:lang w:eastAsia="uk-UA"/>
        </w:rPr>
        <w:t>будь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 завжди </w:t>
      </w:r>
      <w:r w:rsidRPr="00640E7A">
        <w:rPr>
          <w:rFonts w:ascii="Constantia Bold" w:eastAsia="Times New Roman" w:hAnsi="Constantia Bold" w:cs="Times New Roman"/>
          <w:b/>
          <w:bCs/>
          <w:i/>
          <w:iCs/>
          <w:color w:val="000000"/>
          <w:sz w:val="21"/>
          <w:szCs w:val="21"/>
          <w:lang w:eastAsia="uk-UA"/>
        </w:rPr>
        <w:t>здоровий, князю!</w:t>
      </w:r>
    </w:p>
    <w:p w:rsidR="00640E7A" w:rsidRPr="00640E7A" w:rsidRDefault="00640E7A" w:rsidP="00640E7A">
      <w:pPr>
        <w:numPr>
          <w:ilvl w:val="0"/>
          <w:numId w:val="2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i/>
          <w:iCs/>
          <w:color w:val="000000"/>
          <w:sz w:val="21"/>
          <w:szCs w:val="21"/>
          <w:lang w:eastAsia="uk-UA"/>
        </w:rPr>
        <w:t>Будь здоровий, князю!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 – крикнули всі.</w:t>
      </w:r>
    </w:p>
    <w:p w:rsidR="00640E7A" w:rsidRPr="00640E7A" w:rsidRDefault="00640E7A" w:rsidP="00640E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00" w:right="300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Будь!</w:t>
      </w:r>
    </w:p>
    <w:p w:rsidR="00640E7A" w:rsidRPr="00640E7A" w:rsidRDefault="00640E7A" w:rsidP="00640E7A">
      <w:pPr>
        <w:numPr>
          <w:ilvl w:val="0"/>
          <w:numId w:val="2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Будь! – гукнув і князь Андрій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(треба розуміти як «бажаємо тобі здоров’я»),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тільки Ростислав … не подав голосу, при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softHyphen/>
        <w:t>крив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softHyphen/>
        <w:t>ши срібним кубком зневажливу посмішку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[8, с. 116] (чи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таємо підтекст: а я тобі не бажаю ні здоров’я, ні доб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ра) – етикетна формула в лі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тературному дискурсі відоб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ра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жає на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кладання двох комуніка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тивно-ситуативних зна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чень – по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бажан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ня й анти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побажання.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Мабуть, найцікавішими в загальному художньо-літератур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ному дискурсі П. Загребельного є мовно-етикетні формули звер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тання. Їх набір надзвичайно специфічний, у цілому абсолютно контамінований, оскільки включає різні за етнічним походжен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ням слова й вирази, які використовуються письменником для створення об’єктивної картини подій або як прийом стилізації образів, фактів, ситуацій тощо. Крім численних звичайних звер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тань, послідовно оформлених кличним відмінком, типу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князю, отче, сину, лікарю, батьку, мамо, Юліє, Олю, Лукасе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тощо, у ро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ма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нах трапляються такі загальні назви, як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пане, панове, това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softHyphen/>
        <w:t>риство, гер, міс, містер, сер,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що в різних народів використо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вуються для соціально-ґендерної ідентифікації людини в су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спільстві, виражаючи при цьому й шанобливе ставлення до інших спілкувальників, що є зрозумілим тільки в дискурсі. Промовис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тими й варіативними вони є, наприклад, у романі П. Загребель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ного «Я, Богдан»: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панове-лицарі, товариство-добродійство, лицарі-браття, браття-молодці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тощо.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Об’єктивно етикетними є ті звертання, що у своїй внутрішній структурі мають інтегральну сему ?ввічливість’, оскільки вико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рис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то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 xml:space="preserve">вуються як шаблонні формули звертання до осіб 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lastRenderedPageBreak/>
        <w:t>найвищого державно-соціального рангу, репрезентуючи високий стиль спіл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кування. Найчастіше вони фігурують в історичних романах П. За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гребельного, наприклад: 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великий князю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(«Смерть у Києві»)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, ваша величність, о достойний, сяйво очей моїх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(«Роксолана»)</w:t>
      </w:r>
      <w:r w:rsidRPr="00640E7A">
        <w:rPr>
          <w:rFonts w:ascii="Constantia Bold" w:eastAsia="Times New Roman" w:hAnsi="Constantia Bold" w:cs="Times New Roman"/>
          <w:i/>
          <w:iCs/>
          <w:color w:val="000000"/>
          <w:sz w:val="21"/>
          <w:szCs w:val="21"/>
          <w:lang w:eastAsia="uk-UA"/>
        </w:rPr>
        <w:t> 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тощо.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Такі й подібні мовно-етикетні формули звертання, як і інші пошанівні слова й вирази, у художньо-літературному дискурсі загалом майже не досліджені. Тому, зрозуміло, наукові пошуки в цьому напрямі видаються нам перспективними й актуальними. Комплексне дослідження всіх мовно-етикетних засобів з опертям на теоретичні основи нових напрямів лінгвістики, спрямованих на антропоцентризм, дозволить наблизитися до вирішення вічної проблеми в суспільстві – мова й людина.</w:t>
      </w:r>
    </w:p>
    <w:p w:rsidR="00640E7A" w:rsidRPr="00640E7A" w:rsidRDefault="00640E7A" w:rsidP="00640E7A">
      <w:pPr>
        <w:shd w:val="clear" w:color="auto" w:fill="FFFFFF"/>
        <w:spacing w:after="0" w:line="270" w:lineRule="atLeast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Бібліографічні посилання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Бацевич Ф. С.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Вступ до лінгвістичної прагматики / Ф. С. Ба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цевич. – К.: ВЦ «Академія», 2011. – 302 с.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Бацевич Ф. С.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Основи комунікативної лінгвістики / Ф. С. Ба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це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вич. – К.: ВЦ «Академія», 2004. – 344 с.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Бацевич Ф. С.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Філософсько-методологічні засади сучасної лінгвістики: спроба обґрунтування / Ф. С. Бацевич // Мово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знавство. – 2006. – № 6. – С. 33–40.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Голікова Н. С.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Етикет і культура мовного спілкування у ви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щій школі / Н. С. Голікова, І. С. Попова. – Дніпропетровськ: Вид-во ДНУ, 2009. – 157 с.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Загребельний П.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Безслідний Лукас / Павло Загребельний. – Х.: Фоліо, 2003. – 398 с.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Загребельний П.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Брухт / Павло Загребельний. – Х.: Фоліо, 2003. – 254 с.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Загребельний П.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Роксолана. Книга перша / Павло Загребель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ний. – Х.: Фоліо, 2003. – 381 с.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Загребельний П.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Твори: В 2 т. / П. Загребельний. – К.: Дніпро, 1984. – Т. 2: Смерть у Києві. Первоміст. – 662 с.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Загребельний П.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Юлія, або Запрошення до самовбивства / Павло Загребельний. – Х.: Фоліо, 2003. – 350 с.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Загребельний П.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Я, Богдан / Павло Загребельний. – Х.: Фоліо, 2008. – 671 с.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Серажим К.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Дискурс як соціолінгвальне явище: методологія, архітектоніка, варіативність: [монографія] / Катерина Сера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жим. – К.: Видавець Паливода А. В., 2010. – 352 с.</w:t>
      </w:r>
    </w:p>
    <w:p w:rsidR="00640E7A" w:rsidRPr="00640E7A" w:rsidRDefault="00640E7A" w:rsidP="00640E7A">
      <w:pPr>
        <w:numPr>
          <w:ilvl w:val="0"/>
          <w:numId w:val="3"/>
        </w:numPr>
        <w:shd w:val="clear" w:color="auto" w:fill="FFFFFF"/>
        <w:spacing w:after="0" w:line="270" w:lineRule="atLeast"/>
        <w:ind w:left="300" w:right="300"/>
        <w:jc w:val="both"/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</w:pPr>
      <w:r w:rsidRPr="00640E7A">
        <w:rPr>
          <w:rFonts w:ascii="Constantia Bold" w:eastAsia="Times New Roman" w:hAnsi="Constantia Bold" w:cs="Times New Roman"/>
          <w:b/>
          <w:bCs/>
          <w:color w:val="000000"/>
          <w:sz w:val="21"/>
          <w:szCs w:val="21"/>
          <w:lang w:eastAsia="uk-UA"/>
        </w:rPr>
        <w:t>Формановская Н. И.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t> Употребление русского речевого эти</w:t>
      </w:r>
      <w:r w:rsidRPr="00640E7A">
        <w:rPr>
          <w:rFonts w:ascii="Constantia Bold" w:eastAsia="Times New Roman" w:hAnsi="Constantia Bold" w:cs="Times New Roman"/>
          <w:color w:val="000000"/>
          <w:sz w:val="21"/>
          <w:szCs w:val="21"/>
          <w:lang w:eastAsia="uk-UA"/>
        </w:rPr>
        <w:softHyphen/>
        <w:t>кета / Н. И. Формановская. – М.: Русский язык, 1984. – 193 с.</w:t>
      </w:r>
    </w:p>
    <w:p w:rsidR="002C3705" w:rsidRDefault="002C3705">
      <w:bookmarkStart w:id="0" w:name="_GoBack"/>
      <w:bookmarkEnd w:id="0"/>
    </w:p>
    <w:sectPr w:rsidR="002C37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D5427"/>
    <w:multiLevelType w:val="multilevel"/>
    <w:tmpl w:val="5A109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56711"/>
    <w:multiLevelType w:val="multilevel"/>
    <w:tmpl w:val="763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22587"/>
    <w:multiLevelType w:val="multilevel"/>
    <w:tmpl w:val="A6FC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CE"/>
    <w:rsid w:val="002C3705"/>
    <w:rsid w:val="00640E7A"/>
    <w:rsid w:val="00FA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83F4-AE43-4B89-A221-6BB02A9E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0E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0E7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640E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4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640E7A"/>
    <w:rPr>
      <w:i/>
      <w:iCs/>
    </w:rPr>
  </w:style>
  <w:style w:type="character" w:styleId="a6">
    <w:name w:val="Strong"/>
    <w:basedOn w:val="a0"/>
    <w:uiPriority w:val="22"/>
    <w:qFormat/>
    <w:rsid w:val="00640E7A"/>
    <w:rPr>
      <w:b/>
      <w:bCs/>
    </w:rPr>
  </w:style>
  <w:style w:type="character" w:customStyle="1" w:styleId="apple-converted-space">
    <w:name w:val="apple-converted-space"/>
    <w:basedOn w:val="a0"/>
    <w:rsid w:val="0064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ukrsence.com.ua/zmist-zhurnalu/ukra%d1%97nskij-smisl-2-2012/movnij-etiket-u-xudozhno-literaturnomu-diskurs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9675</Words>
  <Characters>5515</Characters>
  <Application>Microsoft Office Word</Application>
  <DocSecurity>0</DocSecurity>
  <Lines>45</Lines>
  <Paragraphs>30</Paragraphs>
  <ScaleCrop>false</ScaleCrop>
  <Company>SPecialiST RePack</Company>
  <LinksUpToDate>false</LinksUpToDate>
  <CharactersWithSpaces>15160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Федоренко</dc:creator>
  <cp:keywords/>
  <dc:description/>
  <cp:lastModifiedBy>Элла Федоренко</cp:lastModifiedBy>
  <cp:revision>2</cp:revision>
  <dcterms:created xsi:type="dcterms:W3CDTF">2014-12-23T23:00:00Z</dcterms:created>
  <dcterms:modified xsi:type="dcterms:W3CDTF">2014-12-23T23:01:00Z</dcterms:modified>
</cp:coreProperties>
</file>