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D74" w:rsidRPr="00FD2FB8" w:rsidRDefault="00576D74" w:rsidP="00576D74">
      <w:pPr>
        <w:widowControl w:val="0"/>
        <w:suppressAutoHyphens w:val="0"/>
        <w:ind w:firstLine="720"/>
        <w:jc w:val="both"/>
        <w:rPr>
          <w:b/>
          <w:sz w:val="22"/>
          <w:szCs w:val="22"/>
        </w:rPr>
      </w:pPr>
      <w:bookmarkStart w:id="0" w:name="_GoBack"/>
      <w:bookmarkEnd w:id="0"/>
      <w:r w:rsidRPr="000C2906">
        <w:rPr>
          <w:b/>
          <w:sz w:val="22"/>
          <w:szCs w:val="22"/>
        </w:rPr>
        <w:t xml:space="preserve">Змістовий модуль </w:t>
      </w:r>
      <w:r>
        <w:rPr>
          <w:b/>
          <w:sz w:val="22"/>
          <w:szCs w:val="22"/>
        </w:rPr>
        <w:t>2</w:t>
      </w:r>
      <w:r w:rsidRPr="000C2906">
        <w:rPr>
          <w:b/>
          <w:sz w:val="22"/>
          <w:szCs w:val="22"/>
        </w:rPr>
        <w:t>.</w:t>
      </w:r>
      <w:r>
        <w:rPr>
          <w:b/>
          <w:sz w:val="22"/>
          <w:szCs w:val="22"/>
        </w:rPr>
        <w:t xml:space="preserve"> </w:t>
      </w:r>
      <w:r w:rsidRPr="00FD2FB8">
        <w:rPr>
          <w:b/>
          <w:sz w:val="22"/>
          <w:szCs w:val="22"/>
        </w:rPr>
        <w:t>Інформаційно-технологічні та організаційні засади впровадження електронного документообігу</w:t>
      </w:r>
    </w:p>
    <w:p w:rsidR="00576D74" w:rsidRPr="00F713B1" w:rsidRDefault="00576D74" w:rsidP="00576D74">
      <w:pPr>
        <w:widowControl w:val="0"/>
        <w:suppressAutoHyphens w:val="0"/>
        <w:ind w:firstLine="720"/>
        <w:jc w:val="both"/>
        <w:rPr>
          <w:rFonts w:cs="Arial"/>
          <w:bCs/>
          <w:sz w:val="22"/>
          <w:szCs w:val="22"/>
          <w:lang w:eastAsia="uk-UA"/>
        </w:rPr>
      </w:pPr>
      <w:r w:rsidRPr="00F713B1">
        <w:rPr>
          <w:sz w:val="22"/>
          <w:szCs w:val="22"/>
        </w:rPr>
        <w:t>Нормативне регулювання</w:t>
      </w:r>
      <w:r w:rsidRPr="00F713B1">
        <w:rPr>
          <w:rFonts w:cs="Arial"/>
          <w:bCs/>
          <w:sz w:val="22"/>
          <w:szCs w:val="22"/>
          <w:lang w:eastAsia="uk-UA"/>
        </w:rPr>
        <w:t>.</w:t>
      </w:r>
      <w:r>
        <w:rPr>
          <w:rFonts w:cs="Arial"/>
          <w:bCs/>
          <w:sz w:val="22"/>
          <w:szCs w:val="22"/>
          <w:lang w:eastAsia="uk-UA"/>
        </w:rPr>
        <w:t xml:space="preserve"> Д</w:t>
      </w:r>
      <w:r w:rsidRPr="00764FF7">
        <w:rPr>
          <w:rFonts w:cs="Arial"/>
          <w:bCs/>
          <w:sz w:val="22"/>
          <w:szCs w:val="22"/>
          <w:lang w:eastAsia="uk-UA"/>
        </w:rPr>
        <w:t>ержавне регулювання у сфері електронного документообігу</w:t>
      </w:r>
      <w:r>
        <w:rPr>
          <w:rFonts w:cs="Arial"/>
          <w:bCs/>
          <w:sz w:val="22"/>
          <w:szCs w:val="22"/>
          <w:lang w:eastAsia="uk-UA"/>
        </w:rPr>
        <w:t xml:space="preserve">. </w:t>
      </w:r>
      <w:r w:rsidRPr="00764FF7">
        <w:rPr>
          <w:rFonts w:cs="Arial"/>
          <w:bCs/>
          <w:sz w:val="22"/>
          <w:szCs w:val="22"/>
          <w:lang w:eastAsia="uk-UA"/>
        </w:rPr>
        <w:t>Характеристика нормативного регулювання використання електронного</w:t>
      </w:r>
      <w:r>
        <w:rPr>
          <w:rFonts w:cs="Arial"/>
          <w:bCs/>
          <w:sz w:val="22"/>
          <w:szCs w:val="22"/>
          <w:lang w:eastAsia="uk-UA"/>
        </w:rPr>
        <w:t xml:space="preserve"> </w:t>
      </w:r>
      <w:r w:rsidRPr="00764FF7">
        <w:rPr>
          <w:rFonts w:cs="Arial"/>
          <w:bCs/>
          <w:sz w:val="22"/>
          <w:szCs w:val="22"/>
          <w:lang w:eastAsia="uk-UA"/>
        </w:rPr>
        <w:t>цифрового підпису</w:t>
      </w:r>
      <w:r>
        <w:rPr>
          <w:rFonts w:cs="Arial"/>
          <w:bCs/>
          <w:sz w:val="22"/>
          <w:szCs w:val="22"/>
          <w:lang w:eastAsia="uk-UA"/>
        </w:rPr>
        <w:t xml:space="preserve">. </w:t>
      </w:r>
      <w:r w:rsidRPr="00764FF7">
        <w:rPr>
          <w:rFonts w:cs="Arial"/>
          <w:bCs/>
          <w:sz w:val="22"/>
          <w:szCs w:val="22"/>
          <w:lang w:eastAsia="uk-UA"/>
        </w:rPr>
        <w:t>Перелік нормативних документів, що визначають загальні засади захисту</w:t>
      </w:r>
      <w:r>
        <w:rPr>
          <w:rFonts w:cs="Arial"/>
          <w:bCs/>
          <w:sz w:val="22"/>
          <w:szCs w:val="22"/>
          <w:lang w:eastAsia="uk-UA"/>
        </w:rPr>
        <w:t xml:space="preserve"> </w:t>
      </w:r>
      <w:r w:rsidRPr="00764FF7">
        <w:rPr>
          <w:rFonts w:cs="Arial"/>
          <w:bCs/>
          <w:sz w:val="22"/>
          <w:szCs w:val="22"/>
          <w:lang w:eastAsia="uk-UA"/>
        </w:rPr>
        <w:t>інформації</w:t>
      </w:r>
      <w:r>
        <w:rPr>
          <w:rFonts w:cs="Arial"/>
          <w:bCs/>
          <w:sz w:val="22"/>
          <w:szCs w:val="22"/>
          <w:lang w:eastAsia="uk-UA"/>
        </w:rPr>
        <w:t>.</w:t>
      </w:r>
    </w:p>
    <w:p w:rsidR="00576D74" w:rsidRPr="00FD2FB8" w:rsidRDefault="00576D74" w:rsidP="00576D74">
      <w:pPr>
        <w:widowControl w:val="0"/>
        <w:suppressAutoHyphens w:val="0"/>
        <w:ind w:firstLine="720"/>
        <w:jc w:val="both"/>
        <w:rPr>
          <w:sz w:val="22"/>
          <w:szCs w:val="22"/>
        </w:rPr>
      </w:pPr>
      <w:r w:rsidRPr="00FD2FB8">
        <w:rPr>
          <w:sz w:val="22"/>
          <w:szCs w:val="22"/>
        </w:rPr>
        <w:t>Технологічні засади впровадження електронного документообігу</w:t>
      </w:r>
      <w:r>
        <w:rPr>
          <w:sz w:val="22"/>
          <w:szCs w:val="22"/>
        </w:rPr>
        <w:t xml:space="preserve">. </w:t>
      </w:r>
      <w:r w:rsidRPr="00FD2FB8">
        <w:rPr>
          <w:sz w:val="22"/>
          <w:szCs w:val="22"/>
        </w:rPr>
        <w:t>Функції системи та проблеми впровадження системи електронного документообігу. Принципи створення інформаційних систем документообігу і загальні вимоги до системи електронного документообігу. Перелік систем-лідерів на ринку щодо автоматизації документообігу</w:t>
      </w:r>
    </w:p>
    <w:p w:rsidR="000B029A" w:rsidRDefault="000B029A"/>
    <w:p w:rsidR="00576D74" w:rsidRPr="00831066" w:rsidRDefault="00576D74" w:rsidP="00831066">
      <w:pPr>
        <w:pStyle w:val="a3"/>
        <w:numPr>
          <w:ilvl w:val="0"/>
          <w:numId w:val="1"/>
        </w:numPr>
        <w:spacing w:line="360" w:lineRule="auto"/>
        <w:ind w:left="0" w:firstLine="709"/>
        <w:jc w:val="both"/>
        <w:rPr>
          <w:sz w:val="28"/>
          <w:szCs w:val="28"/>
          <w:lang w:val="ru-RU"/>
        </w:rPr>
      </w:pPr>
      <w:proofErr w:type="spellStart"/>
      <w:r w:rsidRPr="00831066">
        <w:rPr>
          <w:sz w:val="28"/>
          <w:szCs w:val="28"/>
          <w:lang w:val="ru-RU"/>
        </w:rPr>
        <w:t>Нормативне</w:t>
      </w:r>
      <w:proofErr w:type="spellEnd"/>
      <w:r w:rsidRPr="00831066">
        <w:rPr>
          <w:sz w:val="28"/>
          <w:szCs w:val="28"/>
          <w:lang w:val="ru-RU"/>
        </w:rPr>
        <w:t xml:space="preserve"> </w:t>
      </w:r>
      <w:proofErr w:type="spellStart"/>
      <w:r w:rsidRPr="00831066">
        <w:rPr>
          <w:sz w:val="28"/>
          <w:szCs w:val="28"/>
          <w:lang w:val="ru-RU"/>
        </w:rPr>
        <w:t>регулювання</w:t>
      </w:r>
      <w:proofErr w:type="spellEnd"/>
      <w:r w:rsidRPr="00831066">
        <w:rPr>
          <w:sz w:val="28"/>
          <w:szCs w:val="28"/>
          <w:lang w:val="ru-RU"/>
        </w:rPr>
        <w:t xml:space="preserve"> </w:t>
      </w:r>
      <w:proofErr w:type="spellStart"/>
      <w:r w:rsidRPr="00831066">
        <w:rPr>
          <w:sz w:val="28"/>
          <w:szCs w:val="28"/>
          <w:lang w:val="ru-RU"/>
        </w:rPr>
        <w:t>електронного</w:t>
      </w:r>
      <w:proofErr w:type="spellEnd"/>
      <w:r w:rsidRPr="00831066">
        <w:rPr>
          <w:sz w:val="28"/>
          <w:szCs w:val="28"/>
          <w:lang w:val="ru-RU"/>
        </w:rPr>
        <w:t xml:space="preserve"> </w:t>
      </w:r>
      <w:proofErr w:type="spellStart"/>
      <w:r w:rsidRPr="00831066">
        <w:rPr>
          <w:sz w:val="28"/>
          <w:szCs w:val="28"/>
          <w:lang w:val="ru-RU"/>
        </w:rPr>
        <w:t>документооб</w:t>
      </w:r>
      <w:r w:rsidRPr="00831066">
        <w:rPr>
          <w:sz w:val="28"/>
          <w:szCs w:val="28"/>
        </w:rPr>
        <w:t>ігу</w:t>
      </w:r>
      <w:proofErr w:type="spellEnd"/>
      <w:r w:rsidR="00264498" w:rsidRPr="00831066">
        <w:rPr>
          <w:sz w:val="28"/>
          <w:szCs w:val="28"/>
        </w:rPr>
        <w:t xml:space="preserve">. </w:t>
      </w:r>
      <w:r w:rsidR="00264498" w:rsidRPr="00831066">
        <w:rPr>
          <w:rFonts w:cs="Arial"/>
          <w:bCs/>
          <w:sz w:val="28"/>
          <w:szCs w:val="28"/>
          <w:lang w:eastAsia="uk-UA"/>
        </w:rPr>
        <w:t>Державне регулювання у сфері електронного документообігу.</w:t>
      </w:r>
    </w:p>
    <w:p w:rsidR="00576D74" w:rsidRPr="00831066" w:rsidRDefault="00576D74" w:rsidP="00831066">
      <w:pPr>
        <w:pStyle w:val="a3"/>
        <w:spacing w:line="360" w:lineRule="auto"/>
        <w:ind w:left="0" w:firstLine="709"/>
        <w:jc w:val="both"/>
        <w:rPr>
          <w:sz w:val="28"/>
          <w:szCs w:val="28"/>
          <w:lang w:val="ru-RU"/>
        </w:rPr>
      </w:pPr>
    </w:p>
    <w:p w:rsidR="00831066" w:rsidRDefault="00576D74" w:rsidP="00831066">
      <w:pPr>
        <w:pStyle w:val="a3"/>
        <w:spacing w:line="360" w:lineRule="auto"/>
        <w:ind w:left="0" w:firstLine="709"/>
        <w:jc w:val="both"/>
        <w:rPr>
          <w:sz w:val="28"/>
          <w:szCs w:val="28"/>
        </w:rPr>
      </w:pPr>
      <w:r w:rsidRPr="00831066">
        <w:rPr>
          <w:sz w:val="28"/>
          <w:szCs w:val="28"/>
        </w:rPr>
        <w:t xml:space="preserve">У відповідності до Закону України «Про бухгалтерський облік та фінансову звітність в Україні», який визначає правові засади регулювання, організації, ведення бухгалтерського обліку та складання фінансової звітності в Україні, зазначено, що підприємство самостійно обирає форму бухгалтерського обліку як певну систему регістрів обліку, порядок і способи реєстрації та узагальнення інформації в них. </w:t>
      </w:r>
    </w:p>
    <w:p w:rsidR="00831066" w:rsidRDefault="00576D74" w:rsidP="00831066">
      <w:pPr>
        <w:pStyle w:val="a3"/>
        <w:spacing w:line="360" w:lineRule="auto"/>
        <w:ind w:left="0" w:firstLine="709"/>
        <w:jc w:val="both"/>
        <w:rPr>
          <w:sz w:val="28"/>
          <w:szCs w:val="28"/>
        </w:rPr>
      </w:pPr>
      <w:r w:rsidRPr="00831066">
        <w:rPr>
          <w:sz w:val="28"/>
          <w:szCs w:val="28"/>
        </w:rPr>
        <w:t xml:space="preserve">Статтею 9 даного закону встановлено, що первинні документи, складені в електронній формі, застосовуються у бухгалтерському обліку за умови дотримання вимог законодавства про електронні документи та електронний документообіг. </w:t>
      </w:r>
    </w:p>
    <w:p w:rsidR="00831066" w:rsidRDefault="00576D74" w:rsidP="00831066">
      <w:pPr>
        <w:pStyle w:val="a3"/>
        <w:spacing w:line="360" w:lineRule="auto"/>
        <w:ind w:left="0" w:firstLine="709"/>
        <w:jc w:val="both"/>
        <w:rPr>
          <w:sz w:val="28"/>
          <w:szCs w:val="28"/>
        </w:rPr>
      </w:pPr>
      <w:r w:rsidRPr="00831066">
        <w:rPr>
          <w:sz w:val="28"/>
          <w:szCs w:val="28"/>
        </w:rPr>
        <w:t xml:space="preserve">У разі складання та зберігання первинних документів і регістрів бухгалтерського обліку з використанням електронних засобів оброблення інформації підприємство зобов’язане за свій рахунок виготовити їх копії на паперових носіях на вимогу інших учасників господарських операцій, а також правоохоронних органів та відповідних органів у межах їх повноважень, передбачених законами. </w:t>
      </w:r>
    </w:p>
    <w:p w:rsidR="00831066" w:rsidRDefault="00576D74" w:rsidP="00831066">
      <w:pPr>
        <w:pStyle w:val="a3"/>
        <w:spacing w:line="360" w:lineRule="auto"/>
        <w:ind w:left="0" w:firstLine="709"/>
        <w:jc w:val="both"/>
        <w:rPr>
          <w:sz w:val="28"/>
          <w:szCs w:val="28"/>
        </w:rPr>
      </w:pPr>
      <w:r w:rsidRPr="00831066">
        <w:rPr>
          <w:sz w:val="28"/>
          <w:szCs w:val="28"/>
        </w:rPr>
        <w:t xml:space="preserve">Аналогічна вимога представлена в п. 2.3. «Положення про документальне забезпечення записів у бухгалтерському обліку». Норми даного положення також наголошують на тому, що первинні документи, облікові регістри, бухгалтерська та інша звітність, створені у формі електронного документа, повинні зберігатися на електронних носіях інформації у формі, що дає змогу перевірити їх цілісність на цих носіях, та </w:t>
      </w:r>
      <w:r w:rsidRPr="00831066">
        <w:rPr>
          <w:sz w:val="28"/>
          <w:szCs w:val="28"/>
        </w:rPr>
        <w:lastRenderedPageBreak/>
        <w:t xml:space="preserve">протягом строку, що не повинен бути меншим від строку, встановленого для відповідних документів на папері. </w:t>
      </w:r>
    </w:p>
    <w:p w:rsidR="00831066" w:rsidRDefault="00576D74" w:rsidP="00831066">
      <w:pPr>
        <w:pStyle w:val="a3"/>
        <w:spacing w:line="360" w:lineRule="auto"/>
        <w:ind w:left="0" w:firstLine="709"/>
        <w:jc w:val="both"/>
        <w:rPr>
          <w:sz w:val="28"/>
          <w:szCs w:val="28"/>
        </w:rPr>
      </w:pPr>
      <w:r w:rsidRPr="00831066">
        <w:rPr>
          <w:sz w:val="28"/>
          <w:szCs w:val="28"/>
        </w:rPr>
        <w:t>Комплексний підхід щодо організаційно-правових засад електронного документообігу та використання електронних документів задекларовано в Законі України «Про електронні документи та електронний документообіг».</w:t>
      </w:r>
    </w:p>
    <w:p w:rsidR="00831066" w:rsidRDefault="00831066" w:rsidP="00831066">
      <w:pPr>
        <w:pStyle w:val="a3"/>
        <w:spacing w:line="360" w:lineRule="auto"/>
        <w:ind w:left="0" w:firstLine="709"/>
        <w:jc w:val="both"/>
        <w:rPr>
          <w:sz w:val="28"/>
          <w:szCs w:val="28"/>
        </w:rPr>
      </w:pPr>
    </w:p>
    <w:p w:rsidR="00831066" w:rsidRPr="00831066" w:rsidRDefault="00831066" w:rsidP="00831066">
      <w:pPr>
        <w:pStyle w:val="a3"/>
        <w:numPr>
          <w:ilvl w:val="0"/>
          <w:numId w:val="1"/>
        </w:numPr>
        <w:spacing w:line="360" w:lineRule="auto"/>
        <w:jc w:val="both"/>
        <w:rPr>
          <w:sz w:val="28"/>
          <w:szCs w:val="28"/>
        </w:rPr>
      </w:pPr>
      <w:r w:rsidRPr="00831066">
        <w:rPr>
          <w:rFonts w:cs="Arial"/>
          <w:bCs/>
          <w:sz w:val="28"/>
          <w:szCs w:val="28"/>
          <w:lang w:eastAsia="uk-UA"/>
        </w:rPr>
        <w:t>Державне регулювання у сфері електронного документообігу.</w:t>
      </w:r>
    </w:p>
    <w:p w:rsidR="00831066" w:rsidRDefault="00576D74" w:rsidP="00831066">
      <w:pPr>
        <w:pStyle w:val="a3"/>
        <w:spacing w:line="360" w:lineRule="auto"/>
        <w:ind w:left="0" w:firstLine="709"/>
        <w:jc w:val="both"/>
        <w:rPr>
          <w:sz w:val="28"/>
          <w:szCs w:val="28"/>
        </w:rPr>
      </w:pPr>
      <w:r w:rsidRPr="00831066">
        <w:rPr>
          <w:sz w:val="28"/>
          <w:szCs w:val="28"/>
        </w:rPr>
        <w:t xml:space="preserve"> Державне регулювання у сфері електронного документообігу спрямовано на вирішення низки ключових питань: </w:t>
      </w:r>
    </w:p>
    <w:p w:rsidR="00576D74" w:rsidRPr="00831066" w:rsidRDefault="00576D74" w:rsidP="00831066">
      <w:pPr>
        <w:pStyle w:val="a3"/>
        <w:spacing w:line="360" w:lineRule="auto"/>
        <w:ind w:left="0" w:firstLine="709"/>
        <w:jc w:val="both"/>
        <w:rPr>
          <w:sz w:val="28"/>
          <w:szCs w:val="28"/>
        </w:rPr>
      </w:pPr>
      <w:r w:rsidRPr="00831066">
        <w:rPr>
          <w:sz w:val="28"/>
          <w:szCs w:val="28"/>
        </w:rPr>
        <w:t>- по-перше, реалізації єдиної державної політики щодо електронного документообігу;</w:t>
      </w:r>
    </w:p>
    <w:p w:rsidR="00831066" w:rsidRDefault="00831066" w:rsidP="00831066">
      <w:pPr>
        <w:pStyle w:val="a3"/>
        <w:spacing w:line="360" w:lineRule="auto"/>
        <w:ind w:left="0" w:firstLine="709"/>
        <w:jc w:val="both"/>
        <w:rPr>
          <w:sz w:val="28"/>
          <w:szCs w:val="28"/>
        </w:rPr>
      </w:pPr>
      <w:r w:rsidRPr="00831066">
        <w:rPr>
          <w:sz w:val="28"/>
          <w:szCs w:val="28"/>
        </w:rPr>
        <w:t xml:space="preserve">- по-друге, забезпеченні прав і законних інтересів суб’єктів електронного документообігу; </w:t>
      </w:r>
    </w:p>
    <w:p w:rsidR="00831066" w:rsidRDefault="00831066" w:rsidP="00831066">
      <w:pPr>
        <w:pStyle w:val="a3"/>
        <w:spacing w:line="360" w:lineRule="auto"/>
        <w:ind w:left="0" w:firstLine="709"/>
        <w:jc w:val="both"/>
        <w:rPr>
          <w:sz w:val="28"/>
          <w:szCs w:val="28"/>
        </w:rPr>
      </w:pPr>
      <w:r w:rsidRPr="00831066">
        <w:rPr>
          <w:sz w:val="28"/>
          <w:szCs w:val="28"/>
        </w:rPr>
        <w:t xml:space="preserve">- по-третє, нормативно-правовому забезпеченні технології оброблення, створення, передавання, одержання, зберігання, використання та знищення електронних документів. </w:t>
      </w:r>
    </w:p>
    <w:p w:rsidR="00831066" w:rsidRDefault="00831066" w:rsidP="00831066">
      <w:pPr>
        <w:pStyle w:val="a3"/>
        <w:spacing w:line="360" w:lineRule="auto"/>
        <w:ind w:left="0" w:firstLine="709"/>
        <w:jc w:val="both"/>
        <w:rPr>
          <w:sz w:val="28"/>
          <w:szCs w:val="28"/>
          <w:lang w:val="ru-RU"/>
        </w:rPr>
      </w:pPr>
      <w:r w:rsidRPr="00831066">
        <w:rPr>
          <w:sz w:val="28"/>
          <w:szCs w:val="28"/>
        </w:rPr>
        <w:t>Інші положення вказаного закону характеризують електронний документ (інтерпретацію; правовий статус); засади електронного документообігу (відправлення, передавання електронних документів; одержання електронних документів; перевірку цілісності електронного документу; зберігання та архів електронних документів); організацію електронного документообігу (організацію електронних документів; обіг електронних документів, що містять інформацію з обмеженим доступом, права та обов’язки суб’єктів електронного документообігу).</w:t>
      </w:r>
      <w:r w:rsidR="00B71B56">
        <w:rPr>
          <w:sz w:val="28"/>
          <w:szCs w:val="28"/>
          <w:lang w:val="ru-RU"/>
        </w:rPr>
        <w:t xml:space="preserve"> </w:t>
      </w:r>
    </w:p>
    <w:p w:rsidR="00B71B56" w:rsidRDefault="00B71B56" w:rsidP="00831066">
      <w:pPr>
        <w:pStyle w:val="a3"/>
        <w:spacing w:line="360" w:lineRule="auto"/>
        <w:ind w:left="0" w:firstLine="709"/>
        <w:jc w:val="both"/>
        <w:rPr>
          <w:sz w:val="28"/>
          <w:szCs w:val="28"/>
          <w:lang w:val="ru-RU"/>
        </w:rPr>
      </w:pPr>
    </w:p>
    <w:p w:rsidR="00B71B56" w:rsidRPr="00B71B56" w:rsidRDefault="00B71B56" w:rsidP="00B71B56">
      <w:pPr>
        <w:pStyle w:val="a3"/>
        <w:numPr>
          <w:ilvl w:val="0"/>
          <w:numId w:val="1"/>
        </w:numPr>
        <w:spacing w:line="360" w:lineRule="auto"/>
        <w:jc w:val="both"/>
        <w:rPr>
          <w:sz w:val="28"/>
          <w:szCs w:val="28"/>
          <w:lang w:val="ru-RU"/>
        </w:rPr>
      </w:pPr>
      <w:r w:rsidRPr="00B71B56">
        <w:rPr>
          <w:rFonts w:cs="Arial"/>
          <w:bCs/>
          <w:sz w:val="28"/>
          <w:szCs w:val="28"/>
          <w:lang w:eastAsia="uk-UA"/>
        </w:rPr>
        <w:t>Характеристика нормативного регулювання використання електронного цифрового підпису.</w:t>
      </w:r>
    </w:p>
    <w:p w:rsidR="00B71B56" w:rsidRDefault="00B71B56" w:rsidP="00B71B56">
      <w:pPr>
        <w:pStyle w:val="a3"/>
        <w:spacing w:line="360" w:lineRule="auto"/>
        <w:ind w:left="0" w:firstLine="709"/>
        <w:jc w:val="both"/>
        <w:rPr>
          <w:sz w:val="28"/>
          <w:szCs w:val="28"/>
        </w:rPr>
      </w:pPr>
      <w:r w:rsidRPr="00B71B56">
        <w:rPr>
          <w:sz w:val="28"/>
          <w:szCs w:val="28"/>
        </w:rPr>
        <w:t xml:space="preserve">Наступним законодавчим актом щодо регулювання відносин, пов’язаних з використанням електронного цифрового підпису (ЕЦП), який призначений для ідентифікації автора електронного документа та засвідчення </w:t>
      </w:r>
      <w:r w:rsidRPr="00B71B56">
        <w:rPr>
          <w:sz w:val="28"/>
          <w:szCs w:val="28"/>
        </w:rPr>
        <w:lastRenderedPageBreak/>
        <w:t xml:space="preserve">факту завершення його створення, є Закон України «Про електронний цифровий підпис». </w:t>
      </w:r>
    </w:p>
    <w:p w:rsidR="00B71B56" w:rsidRDefault="00B71B56" w:rsidP="00B71B56">
      <w:pPr>
        <w:pStyle w:val="a3"/>
        <w:spacing w:line="360" w:lineRule="auto"/>
        <w:ind w:left="0" w:firstLine="709"/>
        <w:jc w:val="both"/>
        <w:rPr>
          <w:sz w:val="28"/>
          <w:szCs w:val="28"/>
        </w:rPr>
      </w:pPr>
      <w:r w:rsidRPr="00B71B56">
        <w:rPr>
          <w:sz w:val="28"/>
          <w:szCs w:val="28"/>
        </w:rPr>
        <w:t xml:space="preserve">Прийнятий закон визначає правовий статус електронного цифрового підпису (стаття 3). Електронний цифровий підпис за правовим статусом прирівнюється до власноручного підпису (печатки) у разі, якщо: </w:t>
      </w:r>
    </w:p>
    <w:p w:rsidR="00B71B56" w:rsidRPr="00B71B56" w:rsidRDefault="00B71B56" w:rsidP="00B71B56">
      <w:pPr>
        <w:pStyle w:val="a3"/>
        <w:numPr>
          <w:ilvl w:val="0"/>
          <w:numId w:val="2"/>
        </w:numPr>
        <w:spacing w:line="360" w:lineRule="auto"/>
        <w:ind w:left="0" w:firstLine="709"/>
        <w:jc w:val="both"/>
        <w:rPr>
          <w:sz w:val="28"/>
          <w:szCs w:val="28"/>
          <w:lang w:val="ru-RU"/>
        </w:rPr>
      </w:pPr>
      <w:r w:rsidRPr="00B71B56">
        <w:rPr>
          <w:sz w:val="28"/>
          <w:szCs w:val="28"/>
        </w:rPr>
        <w:t xml:space="preserve">електронний цифровий підпис підтверджено з використанням посиленого сертифіката ключа за допомогою надійних засобів цифрового підпису; </w:t>
      </w:r>
    </w:p>
    <w:p w:rsidR="00B71B56" w:rsidRPr="00B71B56" w:rsidRDefault="00B71B56" w:rsidP="00B71B56">
      <w:pPr>
        <w:pStyle w:val="a3"/>
        <w:numPr>
          <w:ilvl w:val="0"/>
          <w:numId w:val="2"/>
        </w:numPr>
        <w:spacing w:line="360" w:lineRule="auto"/>
        <w:ind w:left="0" w:firstLine="709"/>
        <w:jc w:val="both"/>
        <w:rPr>
          <w:sz w:val="28"/>
          <w:szCs w:val="28"/>
          <w:lang w:val="ru-RU"/>
        </w:rPr>
      </w:pPr>
      <w:r w:rsidRPr="00B71B56">
        <w:rPr>
          <w:sz w:val="28"/>
          <w:szCs w:val="28"/>
        </w:rPr>
        <w:t xml:space="preserve">під час перевірки використовувався посилений сертифікат ключа, чинний на момент накладення електронного цифрового підпису; </w:t>
      </w:r>
    </w:p>
    <w:p w:rsidR="00B71B56" w:rsidRPr="00B71B56" w:rsidRDefault="00B71B56" w:rsidP="00B71B56">
      <w:pPr>
        <w:pStyle w:val="a3"/>
        <w:numPr>
          <w:ilvl w:val="0"/>
          <w:numId w:val="2"/>
        </w:numPr>
        <w:spacing w:line="360" w:lineRule="auto"/>
        <w:ind w:left="0" w:firstLine="709"/>
        <w:jc w:val="both"/>
        <w:rPr>
          <w:sz w:val="28"/>
          <w:szCs w:val="28"/>
          <w:lang w:val="ru-RU"/>
        </w:rPr>
      </w:pPr>
      <w:r w:rsidRPr="00B71B56">
        <w:rPr>
          <w:sz w:val="28"/>
          <w:szCs w:val="28"/>
        </w:rPr>
        <w:t xml:space="preserve">особистий ключ </w:t>
      </w:r>
      <w:proofErr w:type="spellStart"/>
      <w:r w:rsidRPr="00B71B56">
        <w:rPr>
          <w:sz w:val="28"/>
          <w:szCs w:val="28"/>
        </w:rPr>
        <w:t>підписувача</w:t>
      </w:r>
      <w:proofErr w:type="spellEnd"/>
      <w:r w:rsidRPr="00B71B56">
        <w:rPr>
          <w:sz w:val="28"/>
          <w:szCs w:val="28"/>
        </w:rPr>
        <w:t xml:space="preserve"> відповідає відкритому ключу, зазначеному у сертифікаті. </w:t>
      </w:r>
    </w:p>
    <w:p w:rsidR="00B71B56" w:rsidRDefault="00B71B56" w:rsidP="00B71B56">
      <w:pPr>
        <w:spacing w:line="360" w:lineRule="auto"/>
        <w:ind w:firstLine="709"/>
        <w:jc w:val="both"/>
        <w:rPr>
          <w:sz w:val="28"/>
          <w:szCs w:val="28"/>
        </w:rPr>
      </w:pPr>
      <w:r w:rsidRPr="00B71B56">
        <w:rPr>
          <w:sz w:val="28"/>
          <w:szCs w:val="28"/>
        </w:rPr>
        <w:t>Електронний підпис не може бути визнаний недійсним лише через те, що він має електронну форму або не ґрунтується на посиленому сертифікаті ключа.</w:t>
      </w:r>
    </w:p>
    <w:p w:rsidR="00B71B56" w:rsidRPr="00B71B56" w:rsidRDefault="00B71B56" w:rsidP="00B71B56">
      <w:pPr>
        <w:spacing w:line="360" w:lineRule="auto"/>
        <w:ind w:firstLine="709"/>
        <w:jc w:val="both"/>
        <w:rPr>
          <w:sz w:val="28"/>
          <w:szCs w:val="28"/>
        </w:rPr>
      </w:pPr>
      <w:r w:rsidRPr="00B71B56">
        <w:rPr>
          <w:sz w:val="28"/>
          <w:szCs w:val="28"/>
        </w:rPr>
        <w:t>У даному законі також обґрунтовано особливості застосування ЕЦП, ідентифіковано вимоги до сертифіката ключа, конкретизовано права, повноваження та обов’язки суб’єктів правових відносин у сфері послуг електронного цифрового підпису (</w:t>
      </w:r>
      <w:proofErr w:type="spellStart"/>
      <w:r w:rsidRPr="00B71B56">
        <w:rPr>
          <w:sz w:val="28"/>
          <w:szCs w:val="28"/>
        </w:rPr>
        <w:t>підписувача</w:t>
      </w:r>
      <w:proofErr w:type="spellEnd"/>
      <w:r w:rsidRPr="00B71B56">
        <w:rPr>
          <w:sz w:val="28"/>
          <w:szCs w:val="28"/>
        </w:rPr>
        <w:t xml:space="preserve">, користувача, центра сертифікації ключів, акредитованого центра сертифікації ключів, центрального </w:t>
      </w:r>
      <w:proofErr w:type="spellStart"/>
      <w:r w:rsidRPr="00B71B56">
        <w:rPr>
          <w:sz w:val="28"/>
          <w:szCs w:val="28"/>
        </w:rPr>
        <w:t>засвідчувального</w:t>
      </w:r>
      <w:proofErr w:type="spellEnd"/>
      <w:r w:rsidRPr="00B71B56">
        <w:rPr>
          <w:sz w:val="28"/>
          <w:szCs w:val="28"/>
        </w:rPr>
        <w:t xml:space="preserve"> органу, </w:t>
      </w:r>
      <w:proofErr w:type="spellStart"/>
      <w:r w:rsidRPr="00B71B56">
        <w:rPr>
          <w:sz w:val="28"/>
          <w:szCs w:val="28"/>
        </w:rPr>
        <w:t>засвідчувального</w:t>
      </w:r>
      <w:proofErr w:type="spellEnd"/>
      <w:r w:rsidRPr="00B71B56">
        <w:rPr>
          <w:sz w:val="28"/>
          <w:szCs w:val="28"/>
        </w:rPr>
        <w:t xml:space="preserve"> центру органу виконавчої влади або іншого державного органу, контролюючого органу). </w:t>
      </w:r>
    </w:p>
    <w:p w:rsidR="00B71B56" w:rsidRPr="00B71B56" w:rsidRDefault="00B71B56" w:rsidP="00B71B56">
      <w:pPr>
        <w:spacing w:line="360" w:lineRule="auto"/>
        <w:ind w:firstLine="709"/>
        <w:jc w:val="both"/>
        <w:rPr>
          <w:sz w:val="28"/>
          <w:szCs w:val="28"/>
        </w:rPr>
      </w:pPr>
      <w:r w:rsidRPr="00B71B56">
        <w:rPr>
          <w:sz w:val="28"/>
          <w:szCs w:val="28"/>
        </w:rPr>
        <w:t xml:space="preserve">З метою вирішення кола проблемних питань щодо подання електронної звітності до центральних органів виконавчої влади було розроблено та затверджено Кабінетом Міністрів Концепцію створення та функціонування автоматизованої системи «Єдине вікно подання електронної звітності». Дана Концепція характеризує мету, завдання, принципи та елементи автоматизованої системи. </w:t>
      </w:r>
    </w:p>
    <w:p w:rsidR="00B71B56" w:rsidRDefault="00B71B56" w:rsidP="00B71B56">
      <w:pPr>
        <w:spacing w:line="360" w:lineRule="auto"/>
        <w:ind w:firstLine="709"/>
        <w:jc w:val="both"/>
      </w:pPr>
    </w:p>
    <w:p w:rsidR="00B71B56" w:rsidRPr="00B71B56" w:rsidRDefault="00B71B56" w:rsidP="00B71B56">
      <w:pPr>
        <w:pStyle w:val="a3"/>
        <w:numPr>
          <w:ilvl w:val="0"/>
          <w:numId w:val="1"/>
        </w:numPr>
        <w:spacing w:line="360" w:lineRule="auto"/>
        <w:jc w:val="both"/>
        <w:rPr>
          <w:sz w:val="28"/>
          <w:szCs w:val="28"/>
        </w:rPr>
      </w:pPr>
      <w:r w:rsidRPr="00B71B56">
        <w:rPr>
          <w:rFonts w:cs="Arial"/>
          <w:bCs/>
          <w:sz w:val="28"/>
          <w:szCs w:val="28"/>
          <w:lang w:eastAsia="uk-UA"/>
        </w:rPr>
        <w:lastRenderedPageBreak/>
        <w:t>Перелік нормативних документів, що визначають загальні засади захисту інформації.</w:t>
      </w:r>
    </w:p>
    <w:p w:rsidR="00B71B56" w:rsidRPr="00B71B56" w:rsidRDefault="00B71B56" w:rsidP="00B71B56">
      <w:pPr>
        <w:spacing w:line="360" w:lineRule="auto"/>
        <w:ind w:firstLine="709"/>
        <w:jc w:val="both"/>
        <w:rPr>
          <w:sz w:val="28"/>
          <w:szCs w:val="28"/>
        </w:rPr>
      </w:pPr>
      <w:r w:rsidRPr="00B71B56">
        <w:rPr>
          <w:sz w:val="28"/>
          <w:szCs w:val="28"/>
        </w:rPr>
        <w:t xml:space="preserve">Важливе місце в системі нормативно-правового регулювання </w:t>
      </w:r>
      <w:proofErr w:type="spellStart"/>
      <w:r w:rsidRPr="00B71B56">
        <w:rPr>
          <w:sz w:val="28"/>
          <w:szCs w:val="28"/>
        </w:rPr>
        <w:t>безпаперової</w:t>
      </w:r>
      <w:proofErr w:type="spellEnd"/>
      <w:r w:rsidRPr="00B71B56">
        <w:rPr>
          <w:sz w:val="28"/>
          <w:szCs w:val="28"/>
        </w:rPr>
        <w:t xml:space="preserve"> бухгалтерії доцільно відвести основоположним законодавчо-нормативним актам, які регулюють питання захисту інформації. </w:t>
      </w:r>
    </w:p>
    <w:p w:rsidR="00B71B56" w:rsidRPr="00B71B56" w:rsidRDefault="00B71B56" w:rsidP="00B71B56">
      <w:pPr>
        <w:spacing w:line="360" w:lineRule="auto"/>
        <w:ind w:firstLine="709"/>
        <w:jc w:val="both"/>
        <w:rPr>
          <w:sz w:val="28"/>
          <w:szCs w:val="28"/>
        </w:rPr>
      </w:pPr>
      <w:r w:rsidRPr="00B71B56">
        <w:rPr>
          <w:sz w:val="28"/>
          <w:szCs w:val="28"/>
        </w:rPr>
        <w:t>В таблиці 1 представлено перелік та характеристику основних положень нормативно-правових документів, що визначають загальні засади захисту інформації.</w:t>
      </w:r>
    </w:p>
    <w:p w:rsidR="00B71B56" w:rsidRPr="00B71B56" w:rsidRDefault="00B71B56" w:rsidP="00B71B56">
      <w:pPr>
        <w:spacing w:line="360" w:lineRule="auto"/>
        <w:ind w:firstLine="709"/>
        <w:jc w:val="right"/>
        <w:rPr>
          <w:sz w:val="28"/>
          <w:szCs w:val="28"/>
        </w:rPr>
      </w:pPr>
      <w:r w:rsidRPr="00B71B56">
        <w:rPr>
          <w:sz w:val="28"/>
          <w:szCs w:val="28"/>
        </w:rPr>
        <w:t>Таблиця 1</w:t>
      </w:r>
    </w:p>
    <w:tbl>
      <w:tblPr>
        <w:tblStyle w:val="a4"/>
        <w:tblW w:w="0" w:type="auto"/>
        <w:tblLook w:val="04A0" w:firstRow="1" w:lastRow="0" w:firstColumn="1" w:lastColumn="0" w:noHBand="0" w:noVBand="1"/>
      </w:tblPr>
      <w:tblGrid>
        <w:gridCol w:w="3397"/>
        <w:gridCol w:w="5948"/>
      </w:tblGrid>
      <w:tr w:rsidR="00B71B56" w:rsidRPr="00B347B1" w:rsidTr="00B347B1">
        <w:tc>
          <w:tcPr>
            <w:tcW w:w="3397" w:type="dxa"/>
          </w:tcPr>
          <w:p w:rsidR="00B71B56" w:rsidRPr="00B347B1" w:rsidRDefault="00B71B56" w:rsidP="00B347B1">
            <w:pPr>
              <w:jc w:val="center"/>
              <w:rPr>
                <w:lang w:val="ru-RU"/>
              </w:rPr>
            </w:pPr>
            <w:proofErr w:type="spellStart"/>
            <w:r w:rsidRPr="00B347B1">
              <w:rPr>
                <w:lang w:val="ru-RU"/>
              </w:rPr>
              <w:t>Назва</w:t>
            </w:r>
            <w:proofErr w:type="spellEnd"/>
            <w:r w:rsidRPr="00B347B1">
              <w:rPr>
                <w:lang w:val="ru-RU"/>
              </w:rPr>
              <w:t xml:space="preserve"> нормативно-правового документа</w:t>
            </w:r>
          </w:p>
        </w:tc>
        <w:tc>
          <w:tcPr>
            <w:tcW w:w="5948" w:type="dxa"/>
          </w:tcPr>
          <w:p w:rsidR="00B71B56" w:rsidRPr="00B347B1" w:rsidRDefault="00B71B56" w:rsidP="00B347B1">
            <w:pPr>
              <w:tabs>
                <w:tab w:val="left" w:pos="1267"/>
              </w:tabs>
              <w:jc w:val="center"/>
              <w:rPr>
                <w:lang w:val="ru-RU"/>
              </w:rPr>
            </w:pPr>
            <w:proofErr w:type="spellStart"/>
            <w:r w:rsidRPr="00B347B1">
              <w:rPr>
                <w:lang w:val="ru-RU"/>
              </w:rPr>
              <w:t>Зміст</w:t>
            </w:r>
            <w:proofErr w:type="spellEnd"/>
          </w:p>
        </w:tc>
      </w:tr>
      <w:tr w:rsidR="00B71B56" w:rsidRPr="00B347B1" w:rsidTr="00B347B1">
        <w:tc>
          <w:tcPr>
            <w:tcW w:w="3397" w:type="dxa"/>
          </w:tcPr>
          <w:p w:rsidR="00B71B56" w:rsidRPr="00B347B1" w:rsidRDefault="00B71B56" w:rsidP="00B347B1">
            <w:pPr>
              <w:jc w:val="right"/>
              <w:rPr>
                <w:lang w:val="ru-RU"/>
              </w:rPr>
            </w:pPr>
            <w:r w:rsidRPr="00B347B1">
              <w:t>Закон України «Про інформацію»</w:t>
            </w:r>
          </w:p>
        </w:tc>
        <w:tc>
          <w:tcPr>
            <w:tcW w:w="5948" w:type="dxa"/>
          </w:tcPr>
          <w:p w:rsidR="00B71B56" w:rsidRPr="00B347B1" w:rsidRDefault="00B71B56" w:rsidP="00B347B1">
            <w:pPr>
              <w:jc w:val="both"/>
              <w:rPr>
                <w:lang w:val="ru-RU"/>
              </w:rPr>
            </w:pPr>
            <w:r w:rsidRPr="00B347B1">
              <w:t>Упорядковано відносини щодо створення, збирання, одержання, зберігання, використання, поширення, охорони, захисту інформації. Серед основних напрямів державної інформаційної політики виокремлено забезпечення інформаційної безпеки України.</w:t>
            </w:r>
          </w:p>
        </w:tc>
      </w:tr>
      <w:tr w:rsidR="00B71B56" w:rsidRPr="00B347B1" w:rsidTr="00B347B1">
        <w:tc>
          <w:tcPr>
            <w:tcW w:w="3397" w:type="dxa"/>
          </w:tcPr>
          <w:p w:rsidR="00B71B56" w:rsidRPr="00B347B1" w:rsidRDefault="00B71B56" w:rsidP="00B347B1">
            <w:pPr>
              <w:jc w:val="right"/>
              <w:rPr>
                <w:lang w:val="ru-RU"/>
              </w:rPr>
            </w:pPr>
            <w:r w:rsidRPr="00B347B1">
              <w:t>Закон України «Про захист інформації в інформаційно-телекомунікаційних системах»</w:t>
            </w:r>
          </w:p>
        </w:tc>
        <w:tc>
          <w:tcPr>
            <w:tcW w:w="5948" w:type="dxa"/>
          </w:tcPr>
          <w:p w:rsidR="00B71B56" w:rsidRPr="00B347B1" w:rsidRDefault="00B71B56" w:rsidP="00B347B1">
            <w:pPr>
              <w:jc w:val="both"/>
              <w:rPr>
                <w:lang w:val="ru-RU"/>
              </w:rPr>
            </w:pPr>
            <w:r w:rsidRPr="00B347B1">
              <w:t>Визначено, що комплексна система захисту інформації - взаємопов’язана сукупність організаційних та інженернотехнічних заходів, засобів і методів захисту інформації. Представлено інтерпретацію терміну «криптографічний захист інформації», як вид захисту інформації, що реалізується шляхом перетворення інформації з використанням спеціальних (ключових) даних з метою приховування / відновлення змісту інформації, підтвердження її справжності, цілісності, авторства тощо. Ідентифіковано суб’єктів відносин, пов’язаних із захистом інформації в системах (володільці інформації; власники системи; користувачі; спеціально уповноважений центральний орган виконавчої влади з питань організації спеціального зв’язку та захисту інформації і підпорядковані йому регіональні органи). Встановлено, що відповідальність за забезпечення захисту інформації в системі покладається на власника системи</w:t>
            </w:r>
          </w:p>
        </w:tc>
      </w:tr>
      <w:tr w:rsidR="00B71B56" w:rsidRPr="00B347B1" w:rsidTr="00B347B1">
        <w:tc>
          <w:tcPr>
            <w:tcW w:w="3397" w:type="dxa"/>
          </w:tcPr>
          <w:p w:rsidR="00B71B56" w:rsidRPr="00B347B1" w:rsidRDefault="00B71B56" w:rsidP="00B347B1">
            <w:pPr>
              <w:jc w:val="right"/>
              <w:rPr>
                <w:lang w:val="ru-RU"/>
              </w:rPr>
            </w:pPr>
            <w:r w:rsidRPr="00B347B1">
              <w:t>Закон України «Про захист персональних даних»</w:t>
            </w:r>
          </w:p>
        </w:tc>
        <w:tc>
          <w:tcPr>
            <w:tcW w:w="5948" w:type="dxa"/>
          </w:tcPr>
          <w:p w:rsidR="00B71B56" w:rsidRPr="00B347B1" w:rsidRDefault="00B71B56" w:rsidP="00B347B1">
            <w:pPr>
              <w:jc w:val="both"/>
              <w:rPr>
                <w:lang w:val="ru-RU"/>
              </w:rPr>
            </w:pPr>
            <w:r w:rsidRPr="00B347B1">
              <w:t xml:space="preserve">Врегульовано правові відносини, пов’язані із захистом і обробкою персональних даних, спрямований на захист основоположних прав, свобод людини і громадянина, зокрема права на невтручання в особисте життя, у зв’язку з обробкою персональних даних. Встановлено, що розпорядник персональних даних - фізична чи юридична особа, якій володільцем персональних даних або законом надано право обробляти ці дані від імені володільця. При цьому, в законі визначено, що зберігання персональних даних передбачає дії щодо </w:t>
            </w:r>
            <w:r w:rsidRPr="00B347B1">
              <w:lastRenderedPageBreak/>
              <w:t>забезпечення їх цілісності та відповідного режиму доступу до них.</w:t>
            </w:r>
          </w:p>
        </w:tc>
      </w:tr>
      <w:tr w:rsidR="00B71B56" w:rsidRPr="00B347B1" w:rsidTr="00B347B1">
        <w:tc>
          <w:tcPr>
            <w:tcW w:w="3397" w:type="dxa"/>
          </w:tcPr>
          <w:p w:rsidR="00B71B56" w:rsidRPr="00B347B1" w:rsidRDefault="00B71B56" w:rsidP="00B347B1">
            <w:pPr>
              <w:jc w:val="right"/>
              <w:rPr>
                <w:lang w:val="ru-RU"/>
              </w:rPr>
            </w:pPr>
            <w:r w:rsidRPr="00B347B1">
              <w:lastRenderedPageBreak/>
              <w:t>Закон України «Про електронну комерцію»</w:t>
            </w:r>
          </w:p>
        </w:tc>
        <w:tc>
          <w:tcPr>
            <w:tcW w:w="5948" w:type="dxa"/>
          </w:tcPr>
          <w:p w:rsidR="00B71B56" w:rsidRPr="00B347B1" w:rsidRDefault="00B71B56" w:rsidP="00B347B1">
            <w:pPr>
              <w:jc w:val="both"/>
              <w:rPr>
                <w:lang w:val="ru-RU"/>
              </w:rPr>
            </w:pPr>
            <w:r w:rsidRPr="00B347B1">
              <w:t>Визначено, що учасники відносин у сфері електронної комерції зобов’язані забезпечити захист персональних даних, що стали їм відомі з електронних документів (повідомлень) під час вчинення електронних правочинів. Постачальник послуг проміжного характеру несе відповідальність за забезпечення технічного захисту інформації та здійснення контролю за ним у порядку, визначеному законодавством або відповідним договором про надання таких послуг.</w:t>
            </w:r>
          </w:p>
        </w:tc>
      </w:tr>
      <w:tr w:rsidR="00B71B56" w:rsidRPr="00B347B1" w:rsidTr="00B347B1">
        <w:tc>
          <w:tcPr>
            <w:tcW w:w="3397" w:type="dxa"/>
          </w:tcPr>
          <w:p w:rsidR="00B71B56" w:rsidRPr="00B347B1" w:rsidRDefault="00B71B56" w:rsidP="00B347B1">
            <w:pPr>
              <w:jc w:val="right"/>
              <w:rPr>
                <w:lang w:val="ru-RU"/>
              </w:rPr>
            </w:pPr>
            <w:r w:rsidRPr="00B347B1">
              <w:t>Закон України «Про електронний цифровий підпис»</w:t>
            </w:r>
          </w:p>
        </w:tc>
        <w:tc>
          <w:tcPr>
            <w:tcW w:w="5948" w:type="dxa"/>
          </w:tcPr>
          <w:p w:rsidR="00B71B56" w:rsidRPr="00B347B1" w:rsidRDefault="00B71B56" w:rsidP="00B347B1">
            <w:pPr>
              <w:jc w:val="both"/>
              <w:rPr>
                <w:lang w:val="ru-RU"/>
              </w:rPr>
            </w:pPr>
            <w:r w:rsidRPr="00B347B1">
              <w:t xml:space="preserve">Встановлено, що електронний цифровий підпис використовується фізичними та юридичними особами - суб’єктами електронного документообігу для ідентифікації </w:t>
            </w:r>
            <w:proofErr w:type="spellStart"/>
            <w:r w:rsidRPr="00B347B1">
              <w:t>підписувача</w:t>
            </w:r>
            <w:proofErr w:type="spellEnd"/>
            <w:r w:rsidRPr="00B347B1">
              <w:t xml:space="preserve"> та підтвердження цілісності даних в електронній формі.</w:t>
            </w:r>
          </w:p>
        </w:tc>
      </w:tr>
      <w:tr w:rsidR="00B71B56" w:rsidRPr="00B347B1" w:rsidTr="00B347B1">
        <w:tc>
          <w:tcPr>
            <w:tcW w:w="3397" w:type="dxa"/>
          </w:tcPr>
          <w:p w:rsidR="00B71B56" w:rsidRPr="00B347B1" w:rsidRDefault="00B71B56" w:rsidP="00B347B1">
            <w:pPr>
              <w:jc w:val="right"/>
              <w:rPr>
                <w:lang w:val="ru-RU"/>
              </w:rPr>
            </w:pPr>
            <w:r w:rsidRPr="00B347B1">
              <w:t>Закон України «Про електронні документи та електронний докуме</w:t>
            </w:r>
            <w:r w:rsidR="00A428A5">
              <w:t>н</w:t>
            </w:r>
            <w:r w:rsidRPr="00B347B1">
              <w:t>тообіг</w:t>
            </w:r>
            <w:r w:rsidR="00A428A5">
              <w:t>»</w:t>
            </w:r>
          </w:p>
        </w:tc>
        <w:tc>
          <w:tcPr>
            <w:tcW w:w="5948" w:type="dxa"/>
          </w:tcPr>
          <w:p w:rsidR="00B71B56" w:rsidRPr="00B347B1" w:rsidRDefault="00B71B56" w:rsidP="00B347B1">
            <w:pPr>
              <w:jc w:val="both"/>
              <w:rPr>
                <w:lang w:val="ru-RU"/>
              </w:rPr>
            </w:pPr>
            <w:r w:rsidRPr="00B347B1">
              <w:t>Визначено, що одним з напрямів державного регулювання у сфері електронного документообігу є нормативно-правове забезпечення технології оброблення, створення, передавання, одержання, зберігання, використання та знищення електронних документів. Суб’єкти електронного документообігу повинні зберігати електронні документи на електронних носіях інформації у формі, що дає змогу перевірити їх цілісність на цих носіях</w:t>
            </w:r>
          </w:p>
        </w:tc>
      </w:tr>
      <w:tr w:rsidR="00B71B56" w:rsidRPr="00B347B1" w:rsidTr="00B347B1">
        <w:tc>
          <w:tcPr>
            <w:tcW w:w="3397" w:type="dxa"/>
          </w:tcPr>
          <w:p w:rsidR="00B71B56" w:rsidRPr="00B347B1" w:rsidRDefault="00B347B1" w:rsidP="00B347B1">
            <w:pPr>
              <w:jc w:val="right"/>
              <w:rPr>
                <w:lang w:val="ru-RU"/>
              </w:rPr>
            </w:pPr>
            <w:r w:rsidRPr="00B347B1">
              <w:t>Положення про технічний захист інформації в Україні</w:t>
            </w:r>
          </w:p>
        </w:tc>
        <w:tc>
          <w:tcPr>
            <w:tcW w:w="5948" w:type="dxa"/>
          </w:tcPr>
          <w:p w:rsidR="00B71B56" w:rsidRPr="00B347B1" w:rsidRDefault="00B347B1" w:rsidP="00B347B1">
            <w:pPr>
              <w:jc w:val="both"/>
              <w:rPr>
                <w:lang w:val="ru-RU"/>
              </w:rPr>
            </w:pPr>
            <w:r w:rsidRPr="00B347B1">
              <w:t>Встановлено правові та організаційні засади технічного захисту інформації.</w:t>
            </w:r>
          </w:p>
        </w:tc>
      </w:tr>
      <w:tr w:rsidR="00B347B1" w:rsidRPr="00B347B1" w:rsidTr="00B347B1">
        <w:tc>
          <w:tcPr>
            <w:tcW w:w="3397" w:type="dxa"/>
          </w:tcPr>
          <w:p w:rsidR="00B347B1" w:rsidRPr="00B347B1" w:rsidRDefault="00B347B1" w:rsidP="00B347B1">
            <w:pPr>
              <w:jc w:val="right"/>
            </w:pPr>
            <w:r w:rsidRPr="00B347B1">
              <w:t>ДСТУ 3396 0-96 Захист інформації. Технічний захист інформації. Основні положення</w:t>
            </w:r>
          </w:p>
        </w:tc>
        <w:tc>
          <w:tcPr>
            <w:tcW w:w="5948" w:type="dxa"/>
          </w:tcPr>
          <w:p w:rsidR="00B347B1" w:rsidRPr="00B347B1" w:rsidRDefault="00B347B1" w:rsidP="00B347B1">
            <w:pPr>
              <w:jc w:val="both"/>
            </w:pPr>
            <w:r w:rsidRPr="00B347B1">
              <w:t>Визначено об’єкт, мету, основні організаційно-технічні положення забезпечення технічного захисту інформації (ТЗІ), неправомірний доступ до якої може завдати шкоди громадянам, організаціям (юридичним особам) та державі, а також категорії нормативних документів системи ТЗІ.</w:t>
            </w:r>
          </w:p>
        </w:tc>
      </w:tr>
      <w:tr w:rsidR="00B347B1" w:rsidRPr="00B347B1" w:rsidTr="00B347B1">
        <w:tc>
          <w:tcPr>
            <w:tcW w:w="3397" w:type="dxa"/>
          </w:tcPr>
          <w:p w:rsidR="00B347B1" w:rsidRPr="00B347B1" w:rsidRDefault="00B347B1" w:rsidP="00B347B1">
            <w:pPr>
              <w:jc w:val="right"/>
            </w:pPr>
            <w:r w:rsidRPr="00B347B1">
              <w:t>ДСТУ 3396 1-96 Захист інформації. Технічний захист інформації. Порядок проведення робіт</w:t>
            </w:r>
          </w:p>
        </w:tc>
        <w:tc>
          <w:tcPr>
            <w:tcW w:w="5948" w:type="dxa"/>
          </w:tcPr>
          <w:p w:rsidR="00B347B1" w:rsidRPr="00B347B1" w:rsidRDefault="00B347B1" w:rsidP="00B347B1">
            <w:pPr>
              <w:jc w:val="both"/>
            </w:pPr>
            <w:r w:rsidRPr="00B347B1">
              <w:t>Встановлено вимоги до порядку проведення робіт з технічного захисту інформації. Виокремлено три варіанти захисту інформації (досягнення необхідного рівня захисту інформації з обмеженим доступом за мінімальних затрат і допустимого рівня обмежень видів інформаційної діяльності; досягнення необхідного рівня захисту інформації з обмеженим доступом за допустимих затрат і заданого рівня обмежень видів інформаційної діяльності; досягнення максимального рівня захисту інформації з обмеженим доступом за необхідних затрат і мінімального рівня обмежень видів інформаційної діяльності). Визначено перелік організаційних, технічних заходів та способи їх реалізації.</w:t>
            </w:r>
          </w:p>
        </w:tc>
      </w:tr>
      <w:tr w:rsidR="00B347B1" w:rsidRPr="00B347B1" w:rsidTr="00B347B1">
        <w:tc>
          <w:tcPr>
            <w:tcW w:w="3397" w:type="dxa"/>
          </w:tcPr>
          <w:p w:rsidR="00B347B1" w:rsidRPr="00B347B1" w:rsidRDefault="00B347B1" w:rsidP="00B347B1">
            <w:pPr>
              <w:jc w:val="right"/>
            </w:pPr>
            <w:r w:rsidRPr="00B347B1">
              <w:t>ДСТУ 3396.2-97 Захист інформації. Технічний захист інформації. Терміни та визначення</w:t>
            </w:r>
          </w:p>
        </w:tc>
        <w:tc>
          <w:tcPr>
            <w:tcW w:w="5948" w:type="dxa"/>
          </w:tcPr>
          <w:p w:rsidR="00B347B1" w:rsidRPr="00B347B1" w:rsidRDefault="00B347B1" w:rsidP="00B347B1">
            <w:pPr>
              <w:jc w:val="both"/>
            </w:pPr>
            <w:r w:rsidRPr="00B347B1">
              <w:t xml:space="preserve">Ідентифіковано види інформації, які підлягають технічному захисту (інформація; інформація з обмеженим доступом; таємна інформація; конфіденційна інформація). Конкретизовано види загроз для інформації (витік інформації; порушення </w:t>
            </w:r>
            <w:r w:rsidRPr="00B347B1">
              <w:lastRenderedPageBreak/>
              <w:t>цілісності інформації; блокування інформації; комп’ютерний вірус та ін.). Деталізовані технічні канали витоку інформації та особливості організації технічного захисту інформації.</w:t>
            </w:r>
          </w:p>
        </w:tc>
      </w:tr>
    </w:tbl>
    <w:p w:rsidR="00B347B1" w:rsidRDefault="00B347B1" w:rsidP="00B347B1">
      <w:pPr>
        <w:spacing w:line="360" w:lineRule="auto"/>
        <w:ind w:firstLine="709"/>
        <w:jc w:val="both"/>
        <w:rPr>
          <w:sz w:val="28"/>
          <w:szCs w:val="28"/>
        </w:rPr>
      </w:pPr>
    </w:p>
    <w:p w:rsidR="00B71B56" w:rsidRDefault="00B347B1" w:rsidP="00B347B1">
      <w:pPr>
        <w:spacing w:line="360" w:lineRule="auto"/>
        <w:ind w:firstLine="709"/>
        <w:jc w:val="both"/>
        <w:rPr>
          <w:sz w:val="28"/>
          <w:szCs w:val="28"/>
        </w:rPr>
      </w:pPr>
      <w:r w:rsidRPr="00B347B1">
        <w:rPr>
          <w:sz w:val="28"/>
          <w:szCs w:val="28"/>
        </w:rPr>
        <w:t xml:space="preserve">Зазначений перелік нормативно-правових документів визначає загальні засади, вимоги щодо захисту інформації. В практичному аспекті кожен суб’єкт господарювання при використанні </w:t>
      </w:r>
      <w:proofErr w:type="spellStart"/>
      <w:r w:rsidRPr="00B347B1">
        <w:rPr>
          <w:sz w:val="28"/>
          <w:szCs w:val="28"/>
        </w:rPr>
        <w:t>безпаперової</w:t>
      </w:r>
      <w:proofErr w:type="spellEnd"/>
      <w:r w:rsidRPr="00B347B1">
        <w:rPr>
          <w:sz w:val="28"/>
          <w:szCs w:val="28"/>
        </w:rPr>
        <w:t xml:space="preserve"> бухгалтерії повинен розробити внутрішні нормативи щодо обробки, архівації та захисту облікової інформації.</w:t>
      </w:r>
    </w:p>
    <w:p w:rsidR="00B347B1" w:rsidRDefault="00B347B1" w:rsidP="00B347B1">
      <w:pPr>
        <w:spacing w:line="360" w:lineRule="auto"/>
        <w:ind w:firstLine="709"/>
        <w:jc w:val="both"/>
        <w:rPr>
          <w:sz w:val="28"/>
          <w:szCs w:val="28"/>
        </w:rPr>
      </w:pPr>
    </w:p>
    <w:p w:rsidR="00B347B1" w:rsidRDefault="00B347B1" w:rsidP="00B347B1">
      <w:pPr>
        <w:pStyle w:val="a3"/>
        <w:numPr>
          <w:ilvl w:val="0"/>
          <w:numId w:val="1"/>
        </w:numPr>
        <w:spacing w:line="360" w:lineRule="auto"/>
        <w:jc w:val="both"/>
        <w:rPr>
          <w:sz w:val="28"/>
          <w:szCs w:val="28"/>
        </w:rPr>
      </w:pPr>
      <w:r w:rsidRPr="00B347B1">
        <w:rPr>
          <w:sz w:val="28"/>
          <w:szCs w:val="28"/>
        </w:rPr>
        <w:t>Технологічні засади впровадження електронного документообігу.</w:t>
      </w:r>
      <w:r w:rsidR="00980E86">
        <w:rPr>
          <w:sz w:val="28"/>
          <w:szCs w:val="28"/>
        </w:rPr>
        <w:t xml:space="preserve"> </w:t>
      </w:r>
      <w:r w:rsidR="00980E86" w:rsidRPr="00980E86">
        <w:rPr>
          <w:sz w:val="28"/>
          <w:szCs w:val="28"/>
        </w:rPr>
        <w:t>Функції системи та проблеми впровадження системи електронного документообігу. Принципи створення інформаційних систем документообігу і загальні вимоги до системи електронного документообігу. Перелік систем-лідерів на ринку щодо автоматизації документообігу</w:t>
      </w:r>
    </w:p>
    <w:p w:rsidR="00980E86" w:rsidRPr="00980E86" w:rsidRDefault="00980E86" w:rsidP="00980E86">
      <w:pPr>
        <w:pStyle w:val="a3"/>
        <w:spacing w:line="360" w:lineRule="auto"/>
        <w:jc w:val="both"/>
        <w:rPr>
          <w:sz w:val="28"/>
          <w:szCs w:val="28"/>
        </w:rPr>
      </w:pPr>
    </w:p>
    <w:p w:rsidR="00980E86" w:rsidRPr="00980E86" w:rsidRDefault="00980E86" w:rsidP="00980E86">
      <w:pPr>
        <w:spacing w:line="360" w:lineRule="auto"/>
        <w:ind w:firstLine="709"/>
        <w:jc w:val="both"/>
        <w:rPr>
          <w:sz w:val="28"/>
          <w:szCs w:val="28"/>
        </w:rPr>
      </w:pPr>
      <w:r w:rsidRPr="00980E86">
        <w:rPr>
          <w:sz w:val="28"/>
          <w:szCs w:val="28"/>
        </w:rPr>
        <w:t xml:space="preserve">Визначення форми ведення бухгалтерського обліку є виключною прерогативою власника (керівника) підприємства, що задекларовано в Законі України «Про бухгалтерський облік та фінансову звітність в Україні». </w:t>
      </w:r>
    </w:p>
    <w:p w:rsidR="00980E86" w:rsidRPr="00980E86" w:rsidRDefault="00980E86" w:rsidP="00980E86">
      <w:pPr>
        <w:spacing w:line="360" w:lineRule="auto"/>
        <w:ind w:firstLine="709"/>
        <w:jc w:val="both"/>
        <w:rPr>
          <w:sz w:val="28"/>
          <w:szCs w:val="28"/>
        </w:rPr>
      </w:pPr>
      <w:r w:rsidRPr="00980E86">
        <w:rPr>
          <w:sz w:val="28"/>
          <w:szCs w:val="28"/>
        </w:rPr>
        <w:t xml:space="preserve">На сьогодні в практичній діяльності значна кількість підприємств обирають автоматизовану форму ведення бухгалтерського обліку, оскільки процес </w:t>
      </w:r>
      <w:proofErr w:type="spellStart"/>
      <w:r w:rsidRPr="00980E86">
        <w:rPr>
          <w:sz w:val="28"/>
          <w:szCs w:val="28"/>
        </w:rPr>
        <w:t>цифровізації</w:t>
      </w:r>
      <w:proofErr w:type="spellEnd"/>
      <w:r w:rsidRPr="00980E86">
        <w:rPr>
          <w:sz w:val="28"/>
          <w:szCs w:val="28"/>
        </w:rPr>
        <w:t xml:space="preserve"> здійснює позитивний вплив на систему бухгалтерського обліку, сприяє оперативному отриманню деталізованої інформації про господарські операції, що здійснюються на підприємстві. Поряд з цим, організація електронного обліку потребує системного, технічного та програмного забезпечення. </w:t>
      </w:r>
    </w:p>
    <w:p w:rsidR="00980E86" w:rsidRPr="00980E86" w:rsidRDefault="00980E86" w:rsidP="00980E86">
      <w:pPr>
        <w:spacing w:line="360" w:lineRule="auto"/>
        <w:ind w:firstLine="709"/>
        <w:jc w:val="both"/>
        <w:rPr>
          <w:sz w:val="28"/>
          <w:szCs w:val="28"/>
        </w:rPr>
      </w:pPr>
      <w:r w:rsidRPr="00980E86">
        <w:rPr>
          <w:sz w:val="28"/>
          <w:szCs w:val="28"/>
        </w:rPr>
        <w:t xml:space="preserve">Для автоматизації бухгалтерського обліку розроблено значну кількість програмних продуктів. Проте, відповідно до Указу Президента України «Про застосування та внесення змін до персональних спеціальних економічних та інших обмежувальних заходів (санкцій)» на сьогодні заборонено здійснення </w:t>
      </w:r>
      <w:r w:rsidRPr="00980E86">
        <w:rPr>
          <w:sz w:val="28"/>
          <w:szCs w:val="28"/>
        </w:rPr>
        <w:lastRenderedPageBreak/>
        <w:t xml:space="preserve">державних </w:t>
      </w:r>
      <w:proofErr w:type="spellStart"/>
      <w:r w:rsidRPr="00980E86">
        <w:rPr>
          <w:sz w:val="28"/>
          <w:szCs w:val="28"/>
        </w:rPr>
        <w:t>закупівель</w:t>
      </w:r>
      <w:proofErr w:type="spellEnd"/>
      <w:r w:rsidRPr="00980E86">
        <w:rPr>
          <w:sz w:val="28"/>
          <w:szCs w:val="28"/>
        </w:rPr>
        <w:t xml:space="preserve"> товарів, послуг, робіт та використання державними підприємствами, установами і організаціями України програмних продуктів «1C: Бухгалтерія 8 для України», «1C: Бухгалтерія 8 для України Базова», «1C: Бухгалтерія 8 для України. Учбова версія», «1C: Підприємство 8. Торгівля для приватних підприємців України», «1C: Підприємство 8. Комплексний облік для бюджетних установ України», «1C: Підприємство 8. Комплексний облік для бюджетних установ України Базова», «1C: Підприємство 8. Управління торгівлею для України», «1C: Підприємство 8. Управління невеликою фірмою для України», «1C: Підприємство 8. Зарплата і Управління Персоналом для України», «1C: Підприємство 8. Зарплата і Управління Персоналом для України Базова», «1С: Підприємство 8. Управління торговим підприємством для України» («1С: Управління торговим підприємством 8, 1С: УТП8»), «1С: Підприємство 8. Бухгалтерія для бюджетних установ України» («1С бухгалтерія 8 для бюджетних установ»), «1С: Підприємство 8. Зарплата та кадри для бюджетних установ України» («1С: Зарплата та кадри для бюджетних установ України»), «1С: Підприємство 8. Управління виробничим підприємством для України», «1С: Підприємство 8. Документообіг КОРП для України», «1С: Підприємство 7.7. Бухгалтерський облік для України» (1С: Бухгалтерія 7.7.), «1С: Торгівля і Склад 7.7. для України», «1С: Зарплата і Кадри 7.7. для України», «1С: Підприємство 7.7. Комплексна поставка для України», «1С: Підприємство 7.7. </w:t>
      </w:r>
      <w:proofErr w:type="spellStart"/>
      <w:r w:rsidRPr="00980E86">
        <w:rPr>
          <w:sz w:val="28"/>
          <w:szCs w:val="28"/>
        </w:rPr>
        <w:t>Виробництво+Послуги+Бухгалтерія</w:t>
      </w:r>
      <w:proofErr w:type="spellEnd"/>
      <w:r w:rsidRPr="00980E86">
        <w:rPr>
          <w:sz w:val="28"/>
          <w:szCs w:val="28"/>
        </w:rPr>
        <w:t xml:space="preserve"> для України», «BAS ERP», «BAS Управління холдингом», «BAS Документообіг КОРП», «BAS Управління торгівлею», «BAS Роздрібна торгівля», «UA-Бюджет»).</w:t>
      </w:r>
    </w:p>
    <w:p w:rsidR="00980E86" w:rsidRPr="00980E86" w:rsidRDefault="00980E86" w:rsidP="00980E86">
      <w:pPr>
        <w:spacing w:line="360" w:lineRule="auto"/>
        <w:ind w:firstLine="709"/>
        <w:jc w:val="both"/>
        <w:rPr>
          <w:sz w:val="28"/>
          <w:szCs w:val="28"/>
        </w:rPr>
      </w:pPr>
      <w:r w:rsidRPr="00980E86">
        <w:rPr>
          <w:sz w:val="28"/>
          <w:szCs w:val="28"/>
        </w:rPr>
        <w:t>На сьогодні найбільш популярним програмним забезпеченням, яке використовується для автоматизації бухгалтерського обліку в Україні є «BAS: Бухгалтерія», «</w:t>
      </w:r>
      <w:proofErr w:type="spellStart"/>
      <w:r w:rsidRPr="00980E86">
        <w:rPr>
          <w:sz w:val="28"/>
          <w:szCs w:val="28"/>
        </w:rPr>
        <w:t>ISpro</w:t>
      </w:r>
      <w:proofErr w:type="spellEnd"/>
      <w:r w:rsidRPr="00980E86">
        <w:rPr>
          <w:sz w:val="28"/>
          <w:szCs w:val="28"/>
        </w:rPr>
        <w:t xml:space="preserve">», «M.E.Doc», «Дебет Плюс», «Облік </w:t>
      </w:r>
      <w:proofErr w:type="spellStart"/>
      <w:r w:rsidRPr="00980E86">
        <w:rPr>
          <w:sz w:val="28"/>
          <w:szCs w:val="28"/>
        </w:rPr>
        <w:t>SaaS</w:t>
      </w:r>
      <w:proofErr w:type="spellEnd"/>
      <w:r w:rsidRPr="00980E86">
        <w:rPr>
          <w:sz w:val="28"/>
          <w:szCs w:val="28"/>
        </w:rPr>
        <w:t xml:space="preserve">», «MASTER: Бухгалтерія». </w:t>
      </w:r>
    </w:p>
    <w:p w:rsidR="00980E86" w:rsidRDefault="00980E86" w:rsidP="00980E86">
      <w:pPr>
        <w:spacing w:line="360" w:lineRule="auto"/>
        <w:ind w:firstLine="709"/>
        <w:jc w:val="both"/>
        <w:rPr>
          <w:sz w:val="28"/>
          <w:szCs w:val="28"/>
        </w:rPr>
      </w:pPr>
      <w:r w:rsidRPr="00980E86">
        <w:rPr>
          <w:sz w:val="28"/>
          <w:szCs w:val="28"/>
        </w:rPr>
        <w:lastRenderedPageBreak/>
        <w:t>Практичне застосування зазначених програмних продуктів можливе за умови дотримання технічних та системних вимог для встановлення та роботи програмних продуктів до конфігурації комп'ютера.</w:t>
      </w:r>
    </w:p>
    <w:p w:rsidR="00980E86" w:rsidRDefault="00980E86">
      <w:pPr>
        <w:suppressAutoHyphens w:val="0"/>
        <w:spacing w:after="160" w:line="259" w:lineRule="auto"/>
        <w:rPr>
          <w:sz w:val="28"/>
          <w:szCs w:val="28"/>
        </w:rPr>
      </w:pPr>
      <w:r>
        <w:rPr>
          <w:sz w:val="28"/>
          <w:szCs w:val="28"/>
        </w:rPr>
        <w:br w:type="page"/>
      </w:r>
    </w:p>
    <w:p w:rsidR="00980E86" w:rsidRPr="00980E86" w:rsidRDefault="00980E86" w:rsidP="00980E86">
      <w:pPr>
        <w:spacing w:line="360" w:lineRule="auto"/>
        <w:ind w:firstLine="709"/>
        <w:jc w:val="both"/>
        <w:rPr>
          <w:sz w:val="28"/>
          <w:szCs w:val="28"/>
        </w:rPr>
      </w:pPr>
      <w:r w:rsidRPr="00980E86">
        <w:rPr>
          <w:sz w:val="28"/>
          <w:szCs w:val="28"/>
        </w:rPr>
        <w:lastRenderedPageBreak/>
        <w:t xml:space="preserve">Для користувачів, які використовують програми для ведення електронного обліку, підприємства, що обслуговують програмні продукти надають широкий спектр послуг щодо технічної підтримки, а саме: установка та сервісне обслуговування систем; установка, технічне обслуговування та ремонт оргтехніки (персональні комп'ютери, принтери, сервери, мережеве обладнання, тощо); антивірусний захист; підтримка обслуговування мережі; налаштування та підтримка дієздатності операційних систем; підтримка доступу до мережі </w:t>
      </w:r>
      <w:proofErr w:type="spellStart"/>
      <w:r w:rsidRPr="00980E86">
        <w:rPr>
          <w:sz w:val="28"/>
          <w:szCs w:val="28"/>
        </w:rPr>
        <w:t>Internet</w:t>
      </w:r>
      <w:proofErr w:type="spellEnd"/>
      <w:r w:rsidRPr="00980E86">
        <w:rPr>
          <w:sz w:val="28"/>
          <w:szCs w:val="28"/>
        </w:rPr>
        <w:t>; створення і управління комплексом контрольно-пропускного режиму; створення системи відео спостереження; забезпечення оргтехніки витратними матеріалами; постачання та супроводження ліцензійного програмного забезпечення.</w:t>
      </w:r>
    </w:p>
    <w:sectPr w:rsidR="00980E86" w:rsidRPr="00980E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8879E0"/>
    <w:multiLevelType w:val="hybridMultilevel"/>
    <w:tmpl w:val="F7E47EE6"/>
    <w:lvl w:ilvl="0" w:tplc="B3F8DF10">
      <w:start w:val="3"/>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679331C2"/>
    <w:multiLevelType w:val="hybridMultilevel"/>
    <w:tmpl w:val="96805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C1F"/>
    <w:rsid w:val="000B029A"/>
    <w:rsid w:val="00264498"/>
    <w:rsid w:val="00576D74"/>
    <w:rsid w:val="00831066"/>
    <w:rsid w:val="00905C1F"/>
    <w:rsid w:val="00980E86"/>
    <w:rsid w:val="00A24B5D"/>
    <w:rsid w:val="00A428A5"/>
    <w:rsid w:val="00B347B1"/>
    <w:rsid w:val="00B71B56"/>
    <w:rsid w:val="00D77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A94D7-30DA-491D-80A1-87608100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D74"/>
    <w:pPr>
      <w:suppressAutoHyphens/>
      <w:spacing w:after="0" w:line="240" w:lineRule="auto"/>
    </w:pPr>
    <w:rPr>
      <w:rFonts w:ascii="Times New Roman" w:eastAsia="Calibri" w:hAnsi="Times New Roman"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6D74"/>
    <w:pPr>
      <w:ind w:left="720"/>
      <w:contextualSpacing/>
    </w:pPr>
  </w:style>
  <w:style w:type="table" w:styleId="a4">
    <w:name w:val="Table Grid"/>
    <w:basedOn w:val="a1"/>
    <w:uiPriority w:val="39"/>
    <w:rsid w:val="00B71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3851A-C8EB-4B1F-8BF5-6682CADF4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2248</Words>
  <Characters>12815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Романова</dc:creator>
  <cp:keywords/>
  <dc:description/>
  <cp:lastModifiedBy>RePack by Diakov</cp:lastModifiedBy>
  <cp:revision>2</cp:revision>
  <dcterms:created xsi:type="dcterms:W3CDTF">2024-02-05T16:19:00Z</dcterms:created>
  <dcterms:modified xsi:type="dcterms:W3CDTF">2024-02-05T16:19:00Z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d8c8f4ea8ff5877a4f2c6c890e69502214c7680a617fd3640104c86a76a541c7</vt:lpwstr>
  </property>
</Properties>
</file>