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2A" w:rsidRPr="00160AAE" w:rsidRDefault="00E7696D" w:rsidP="00E76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04345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. Електронний цифровий підпис</w:t>
      </w: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1. Визначення терміну електронного цифрового підпису</w:t>
      </w:r>
    </w:p>
    <w:p w:rsidR="00096542" w:rsidRPr="00160AAE" w:rsidRDefault="00096542" w:rsidP="00096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Валідація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цифрового підпису</w:t>
      </w:r>
    </w:p>
    <w:p w:rsidR="00E7696D" w:rsidRPr="00160AAE" w:rsidRDefault="00A273A9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3. Хеш-функція та принципи її роботи</w:t>
      </w:r>
    </w:p>
    <w:p w:rsidR="00A273A9" w:rsidRDefault="00160AAE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Різниця цифрового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електронний підписів</w:t>
      </w:r>
    </w:p>
    <w:p w:rsidR="00160AAE" w:rsidRDefault="00160AAE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1. Визначення терміну електронного цифрового підпису</w:t>
      </w: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Електронний цифровий підпис (або скорочено – ЕЦП) за правовим статусом прирівняний до власноручного підпису або печатки.</w:t>
      </w: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ЕЦП – це дані в електронній формі, отримані за результатами криптографічного перетворення, які додаються до інших даних або документів і забезпечують їх цілісність та ідентифікацію автора.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Надійний засіб електронного цифрового підпису — засіб електронного цифрового підпису, що має сертифікат відповідності або позитивний експертний висновок за результатами державної експертизи у сфері криптографічного захисту інформації.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Одним із елементів обов'язкового реквізиту є електронний підпис, який використовується для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аутентифікації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автора та/або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підписувача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документа іншими суб'єктами електронного документообігу.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Оригіналом електронного документа вважається електронний примірник з електронним цифровим підписом автора.</w:t>
      </w: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За допомогою послуг ЕЦП можна підписувати електронні документи, користуватися електронними послугами, реєструватися на державних порталах тощо. Документи, підписані за допомогою ЕЦП, мають таку саму юридичну силу, як і звичайні.</w:t>
      </w: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Станом на середину 2018 року близько 9 мільйонів фізичних осіб та представників юридичних осіб та вже мають ЕЦП, серед них третина – фізичні особи, фізичні особи-підприємці та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самозайняті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особи.</w:t>
      </w:r>
    </w:p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Отримати послуги ЕЦП фізична або юридична особа може в одному з Акредитованих центрів сертифікації ключів (АЦСК)</w:t>
      </w:r>
    </w:p>
    <w:p w:rsidR="0041303D" w:rsidRPr="00160AAE" w:rsidRDefault="0041303D" w:rsidP="004130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60AA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Кваліфіковані надавачі електронних довірчих послуг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39"/>
      </w:tblGrid>
      <w:tr w:rsidR="0041303D" w:rsidRPr="00160AAE" w:rsidTr="00096542">
        <w:trPr>
          <w:trHeight w:val="885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EEF3"/>
                <w:lang w:val="uk-UA"/>
              </w:rPr>
              <w:t>Назва юридичної особи</w:t>
            </w:r>
          </w:p>
        </w:tc>
        <w:tc>
          <w:tcPr>
            <w:tcW w:w="5239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EEF3"/>
                <w:lang w:val="uk-UA"/>
              </w:rPr>
              <w:t>Назва кваліфікованого надавача електронних довірчих послуг</w:t>
            </w:r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АКЦІОНЕРНЕ ТОВАРИСТВО КОМЕРЦІЙНИЙ БАНК "ПРИВАТБАНК"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АЦСК АТ КБ "ПРИВАТБАНК"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41303D">
            <w:pPr>
              <w:spacing w:after="45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lang w:val="uk-UA"/>
                </w:rPr>
                <w:t>Військова частина 2428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"Військова частина 2428" Державної прикордонної служби України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41303D">
            <w:pPr>
              <w:spacing w:after="45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lang w:val="uk-UA"/>
                </w:rPr>
                <w:t>Генеральний штаб Збройних Сил України</w:t>
              </w:r>
            </w:hyperlink>
          </w:p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"Центр сертифікації ключів Збройних Сил України"</w:t>
              </w:r>
            </w:hyperlink>
          </w:p>
        </w:tc>
      </w:tr>
      <w:tr w:rsidR="0041303D" w:rsidRPr="00160AAE" w:rsidTr="00096542">
        <w:trPr>
          <w:trHeight w:val="835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Офіс Генерального прокурора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органів прокуратури України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Державна казначейська служба України</w:t>
              </w:r>
            </w:hyperlink>
          </w:p>
        </w:tc>
        <w:tc>
          <w:tcPr>
            <w:tcW w:w="5239" w:type="dxa"/>
          </w:tcPr>
          <w:p w:rsidR="0041303D" w:rsidRPr="00160AAE" w:rsidRDefault="003C33EA" w:rsidP="0041303D">
            <w:pPr>
              <w:spacing w:after="45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tgtFrame="_blank" w:tooltip="Перейти до сторінки Надавача" w:history="1">
              <w:r w:rsidR="0041303D" w:rsidRPr="00160AAE">
                <w:rPr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lang w:val="uk-UA"/>
                </w:rPr>
                <w:br/>
              </w:r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lang w:val="uk-UA"/>
                </w:rPr>
                <w:t>Кваліфікований надавач електронних довірчих послуг Державної казначейської служби України</w:t>
              </w:r>
            </w:hyperlink>
          </w:p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03D" w:rsidRPr="00160AAE" w:rsidTr="00096542">
        <w:trPr>
          <w:trHeight w:val="1268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Акціонерне товариство "Оператор ринку"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"АЦСК ринку електричної енергії"</w:t>
              </w:r>
            </w:hyperlink>
          </w:p>
        </w:tc>
      </w:tr>
      <w:tr w:rsidR="0041303D" w:rsidRPr="00160AAE" w:rsidTr="00096542">
        <w:trPr>
          <w:trHeight w:val="988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Державне підприємство "ДІЯ"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"ДІЯ"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Державне підприємство "Українські спеціальні системи"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Державного підприємства "Українські спеціальні системи"</w:t>
              </w:r>
            </w:hyperlink>
          </w:p>
        </w:tc>
      </w:tr>
      <w:tr w:rsidR="0041303D" w:rsidRPr="00160AAE" w:rsidTr="00096542">
        <w:trPr>
          <w:trHeight w:val="1410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Інформаційно-довідковий департамент ДПС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Інформаційно-довідкового департаменту ДПС</w:t>
              </w:r>
            </w:hyperlink>
          </w:p>
        </w:tc>
      </w:tr>
      <w:tr w:rsidR="0041303D" w:rsidRPr="00160AAE" w:rsidTr="00096542">
        <w:trPr>
          <w:trHeight w:val="140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Міністерство внутрішніх справ України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– акредитований центр сертифікації ключів МВС України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41303D">
            <w:pPr>
              <w:spacing w:after="45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tgtFrame="_blank" w:tooltip="Перейти до сторінки Надавача" w:history="1">
              <w:r w:rsidR="0041303D" w:rsidRPr="00160AAE">
                <w:rPr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lang w:val="uk-UA"/>
                </w:rPr>
                <w:br/>
              </w:r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lang w:val="uk-UA"/>
                </w:rPr>
                <w:t>Національний банк України</w:t>
              </w:r>
            </w:hyperlink>
          </w:p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"Акредитований центр сертифікації ключів Національного банку України"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Акціонерне товариство "Державний ощадний банк України"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- центр сертифікації ключів акціонерного товариства «Державний ощадний банк України»</w:t>
              </w:r>
            </w:hyperlink>
          </w:p>
        </w:tc>
      </w:tr>
      <w:tr w:rsidR="0041303D" w:rsidRPr="00160AAE" w:rsidTr="00096542">
        <w:trPr>
          <w:trHeight w:val="1265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Товариство з обмеженою відповідальністю "Арт-</w:t>
              </w:r>
              <w:proofErr w:type="spellStart"/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мастер</w:t>
              </w:r>
              <w:proofErr w:type="spellEnd"/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"MASTERKEY"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04345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Товариство з обмеженою відповідальністю "Центр сертифікації ключів "Україна"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ТОВ "Центр сертифікації ключів "Україна"</w:t>
              </w:r>
            </w:hyperlink>
          </w:p>
        </w:tc>
      </w:tr>
      <w:tr w:rsidR="0041303D" w:rsidRPr="00160AAE" w:rsidTr="0041303D">
        <w:trPr>
          <w:trHeight w:val="1692"/>
        </w:trPr>
        <w:tc>
          <w:tcPr>
            <w:tcW w:w="421" w:type="dxa"/>
          </w:tcPr>
          <w:p w:rsidR="0041303D" w:rsidRPr="00160AAE" w:rsidRDefault="0041303D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Філія "Головний інформаційно-обчислювальний центр" акціонерного товариства "Українська залізниця"</w:t>
              </w:r>
            </w:hyperlink>
          </w:p>
        </w:tc>
        <w:tc>
          <w:tcPr>
            <w:tcW w:w="5239" w:type="dxa"/>
          </w:tcPr>
          <w:p w:rsidR="0041303D" w:rsidRPr="00160AAE" w:rsidRDefault="003C33EA" w:rsidP="00E769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tgtFrame="_blank" w:tooltip="Перейти до сторінки Надавача" w:history="1">
              <w:r w:rsidR="0041303D" w:rsidRPr="00160AAE">
                <w:rPr>
                  <w:rStyle w:val="a4"/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  <w:shd w:val="clear" w:color="auto" w:fill="FFFFFF"/>
                  <w:lang w:val="uk-UA"/>
                </w:rPr>
                <w:t>Кваліфікований надавач електронних довірчих послуг ЦСК АТ "УКРЗАЛІЗНИЦЯ"</w:t>
              </w:r>
            </w:hyperlink>
          </w:p>
        </w:tc>
      </w:tr>
    </w:tbl>
    <w:p w:rsidR="00E7696D" w:rsidRPr="00160AAE" w:rsidRDefault="00E7696D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542" w:rsidRPr="00160AAE" w:rsidRDefault="00096542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Валідація</w:t>
      </w:r>
      <w:proofErr w:type="spellEnd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цифрового підпису</w:t>
      </w:r>
    </w:p>
    <w:p w:rsidR="00096542" w:rsidRPr="00160AAE" w:rsidRDefault="00096542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542" w:rsidRPr="00160AAE" w:rsidRDefault="00096542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Процедера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ЕД полягає у перевірці наявності всіх його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обовязкових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реквізитів та його цілісності шляхом перевірки та підтвердження КЕП та/або печатки.</w:t>
      </w:r>
    </w:p>
    <w:p w:rsidR="00096542" w:rsidRPr="00160AAE" w:rsidRDefault="00096542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Валідація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процес верифікації та підтвердження того, що підпис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валідний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(дійсний).</w:t>
      </w:r>
    </w:p>
    <w:p w:rsidR="00096542" w:rsidRPr="00160AAE" w:rsidRDefault="00096542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Політика </w:t>
      </w:r>
      <w:proofErr w:type="spellStart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валідації</w:t>
      </w:r>
      <w:proofErr w:type="spellEnd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підпису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набір правил, що застосовуються до одного або кількох цифрових підписів, який визначає технічні та процедурні вимоги для їх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валідації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задоволення конкретної бізнес-потреби та під яким цифрові підписи можуть бути визнані як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валідні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542" w:rsidRPr="00160AAE" w:rsidRDefault="00096542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Обмеження підпису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абстрактне формулювання правил, значень, діапазонів і результатів обчислень згідно з якими цифровий підпис може пройти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валідацію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>. Обмеження бувають:</w:t>
      </w:r>
    </w:p>
    <w:p w:rsidR="00096542" w:rsidRPr="00160AAE" w:rsidRDefault="00EB4BF7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96542" w:rsidRPr="00160AAE">
        <w:rPr>
          <w:rFonts w:ascii="Times New Roman" w:hAnsi="Times New Roman" w:cs="Times New Roman"/>
          <w:i/>
          <w:sz w:val="28"/>
          <w:szCs w:val="28"/>
          <w:lang w:val="uk-UA"/>
        </w:rPr>
        <w:t>Криптографічні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накладання обмежень по конфіденційності, цілісності і автентичності інформації за допомогою математичних методи забезпечення;</w:t>
      </w:r>
    </w:p>
    <w:p w:rsidR="00EB4BF7" w:rsidRPr="00160AAE" w:rsidRDefault="00EB4BF7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Обмеження на </w:t>
      </w:r>
      <w:proofErr w:type="spellStart"/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валідацію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непідтвердження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 підпису;</w:t>
      </w:r>
    </w:p>
    <w:p w:rsidR="00EB4BF7" w:rsidRPr="00160AAE" w:rsidRDefault="00EB4BF7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Обмеження елементів підпису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4BF7" w:rsidRPr="00160AAE" w:rsidRDefault="00EB4BF7" w:rsidP="00E76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Інші обмеження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Криптографічний захист (шифрування) інформації – це вид захисту, який реалізується за допомогою перетворень інформації з використанням спеціальних (ключових) даних з метою приховування змісту інформації, підтвердження її справжності, цілісності, авторства тощо. На відміну від тайнопису, яке приховує сам факт передавання повідомлення, зашифровані повідомлення передаються відкрито, приховується їхній зміст.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Методи криптографії поділяють на дві групи – підставлення (заміни) і переставлення.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Підстановний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метод передбачає, що кожна літера та цифра повідомлення замінюється за певним правилом на інший символ. Зокрема, для визначення порядку підставлення може використовуватись певне слово або фраза – ключ. У загальному випадку у криптографії ключ – це послідовність бітів, що використовуються для шифрування та розшифрування даних.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Подібний шифр дуже швидко можна розкрити, вивчивши повторюваність символів та короткі слова «і», «або», «за» і т. ін. У разі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використання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перестановного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алгоритму змінюються не символи, а порядок їх розміщення в повідомленні.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Залежно від доступності ключів розрізняють: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- симетричне шифрування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для шифрування і розшифрування використовується один ключ. Такі системи із закритим ключем реалізовані, наприклад, в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архіваторах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даних. Це зручно для шифрування приватної інформації, але під час передавання повідомлення по каналах зв’язку слід забезпечити таємне передавання ключа, щоб одержувач міг здійснити розшифрування. У принципі, якщо можна таємно передати ключ, то можна передати і таємну інформацію, тоді відпадає необхідність у шифруванні, а якщо такої можливості немає, шифрування даремне;</w:t>
      </w:r>
    </w:p>
    <w:p w:rsidR="00EB4BF7" w:rsidRPr="00160AAE" w:rsidRDefault="00EB4BF7" w:rsidP="00EB4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асиметричне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– для шифрування використовується один, відкритий (публічний, загальнодоступний) ключ, а для дешифрування – інший, закритий (секретний, приватний). Це робить непотрібним таємне передавання ключів між кореспондентами. Відкритий ключ безплідний для дешифрування, і його знання не дає можливості визначити секретний ключ. Єдиним недоліком моделі є необхідність адміністративної роботи – ключі (і відкриті, і закриті) треба десь зберігати і час від часу оновлювати. Сьогодні існує достатня кількість криптографічних алгоритмів. Найбільш поширеними з них є стандарт шифрування даних DES (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Encryption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Standart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>) та алгоритм RSA, названий за першими літерами прізвищ розробників (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Rivest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Shamir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Adleman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>), розроблені у 1970—х роках. Обидва алгоритми є державними стандартами США. DES є симетричним алгоритмом, а RSA – асиметричним. Ступінь захищеності під час використання цих алгоритмів прямо залежить від довжини ключа, що застосовується.</w:t>
      </w:r>
    </w:p>
    <w:p w:rsidR="00EB4BF7" w:rsidRPr="00160AAE" w:rsidRDefault="00EB4BF7" w:rsidP="00A273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Стани повної </w:t>
      </w:r>
      <w:proofErr w:type="spellStart"/>
      <w:r w:rsidRPr="00160A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валідації</w:t>
      </w:r>
      <w:proofErr w:type="spellEnd"/>
      <w:r w:rsidRPr="00160A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EB4BF7" w:rsidRPr="00160AAE" w:rsidRDefault="00EB4BF7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TOTAL PASED – криптографічні перевірки підпису а також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віс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</w:t>
      </w:r>
      <w:proofErr w:type="spellStart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proofErr w:type="spellEnd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політикою </w:t>
      </w:r>
      <w:proofErr w:type="spellStart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конфіденційностівалідації</w:t>
      </w:r>
      <w:proofErr w:type="spellEnd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підпису пройшли успішно.</w:t>
      </w: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lastRenderedPageBreak/>
        <w:t>- TOTAL FAILED – криптографічні перевірки підпису не вдалися або доведено, що генерація підпису відбувалася після анулювання сертифіката підписання або тому що підпис не відповідає одному з базових стандартів у тій мірі, в якій складова частина криптографічної верифікації не може обробити його.</w:t>
      </w:r>
    </w:p>
    <w:p w:rsidR="00A273A9" w:rsidRPr="00160AAE" w:rsidRDefault="00EB4BF7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- INDETERMINATE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- результати проведених перевірок не дозволяють встановити, що підпис TOTAL PASED або TOTAL FAILED;</w:t>
      </w:r>
    </w:p>
    <w:p w:rsidR="00EB4BF7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якщо докладна інформація вказує, що результат може змінитися при повторному виконанні алгоритму перевірки, то можна повторити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валідацію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додаткової інформації або пізніше у часі.</w:t>
      </w: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3. Хеш-функція та принципи її роботи</w:t>
      </w: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i/>
          <w:sz w:val="28"/>
          <w:szCs w:val="28"/>
          <w:lang w:val="uk-UA"/>
        </w:rPr>
        <w:t>Хеш-функція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-це спеціальна програма, яка перетворює будь-яку пропущену через неї інформацію в хеш або дайджест - унікальну комбінацію букв і цифр заданої довжини. Будь-яка зміна початкових даних призведе до формування зовсім іншого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хеша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. Саме тому більшість систем на основі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блокчейн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активно використовує цей метод шифрування даних.</w:t>
      </w: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Принципи роботи</w:t>
      </w:r>
    </w:p>
    <w:p w:rsidR="00A273A9" w:rsidRPr="00160AAE" w:rsidRDefault="00160AAE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A273A9" w:rsidRPr="00160AAE">
        <w:rPr>
          <w:rFonts w:ascii="Times New Roman" w:hAnsi="Times New Roman" w:cs="Times New Roman"/>
          <w:i/>
          <w:sz w:val="28"/>
          <w:szCs w:val="28"/>
          <w:lang w:val="uk-UA"/>
        </w:rPr>
        <w:t>Хешування даних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. Вкрай важливий момент при роботі з </w:t>
      </w:r>
      <w:proofErr w:type="spellStart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блокчейном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blockchain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- розподілена база даних, що зберігає впорядкований ланцюжок записів (так званих блоків), що постійно довшає)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. Незважаючи на те, що для верифікації даних досить підписування свого імені на основі приватного ключа, цей підпис завжди пропускають через власні хеш-алгоритми. Просто для того, щоб отримати дайджест заданої довжини і формату, з яким куди простіше працювати системі.</w:t>
      </w:r>
    </w:p>
    <w:p w:rsidR="00A273A9" w:rsidRPr="00160AAE" w:rsidRDefault="00160AAE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A273A9" w:rsidRPr="00160AAE">
        <w:rPr>
          <w:rFonts w:ascii="Times New Roman" w:hAnsi="Times New Roman" w:cs="Times New Roman"/>
          <w:i/>
          <w:sz w:val="28"/>
          <w:szCs w:val="28"/>
          <w:lang w:val="uk-UA"/>
        </w:rPr>
        <w:t>Підпис.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Існує ряд односпрямованих алгоритмів, які формують цифровий підпис на основі приватного ключа. І інших алгоритмів, що дозволяють підтвердити справжність отриманого результату на основі публічного ключа. Крім того, варто враховувати, що даний спосіб 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підтвердження формується не тільки на основі приватного ключа, а й з урахуванням вмісту повідомлення. Тому в кожному конкретному випадку він буде унікальним. Що робить неможливою «сліпу підстановку» одного цифрового підпису для підтвердження іншого вмісту.</w:t>
      </w:r>
    </w:p>
    <w:p w:rsidR="00A273A9" w:rsidRPr="00160AAE" w:rsidRDefault="00160AAE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A273A9" w:rsidRPr="00160AAE">
        <w:rPr>
          <w:rFonts w:ascii="Times New Roman" w:hAnsi="Times New Roman" w:cs="Times New Roman"/>
          <w:i/>
          <w:sz w:val="28"/>
          <w:szCs w:val="28"/>
          <w:lang w:val="uk-UA"/>
        </w:rPr>
        <w:t>Перевірка.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Приватний ключ завжди один, тоді як публічних може бути безліч. І кожен власник публічного може за допомогою спеціальних алгоритмів переконатися в тому, що прийняте повідомлення підписано саме приватним ключем, але без розуміння його вмісту. Тому основне завдання будь-якого шахрая - за всяку ціну заволодіти приватним ключем. На щастя, класичні методи соціальної інженерії тут не підходять - тільки пряме перехоплення повідомлень що вводяться.</w:t>
      </w:r>
    </w:p>
    <w:p w:rsidR="00A273A9" w:rsidRPr="00160AAE" w:rsidRDefault="00A273A9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60A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Що дає цей спосіб підтвердження</w:t>
      </w:r>
      <w:r w:rsidR="00160AAE" w:rsidRPr="00160A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A273A9" w:rsidRPr="00160AAE" w:rsidRDefault="00160AAE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73A9" w:rsidRPr="00160AAE">
        <w:rPr>
          <w:rFonts w:ascii="Times New Roman" w:hAnsi="Times New Roman" w:cs="Times New Roman"/>
          <w:i/>
          <w:sz w:val="28"/>
          <w:szCs w:val="28"/>
          <w:lang w:val="uk-UA"/>
        </w:rPr>
        <w:t>Цілісність даних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- к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ожний власник публічного ключа може упевнитися в достовірності інформації, зашифрованої приватним , без </w:t>
      </w:r>
      <w:proofErr w:type="spellStart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розшифровки</w:t>
      </w:r>
      <w:proofErr w:type="spellEnd"/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її змісту.</w:t>
      </w:r>
    </w:p>
    <w:p w:rsidR="00A273A9" w:rsidRPr="00160AAE" w:rsidRDefault="00160AAE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Аутентифікація</w:t>
      </w:r>
      <w:proofErr w:type="spellEnd"/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к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ожний власник публічного ключа може переконатися, що має справу з володарем приватного.</w:t>
      </w:r>
    </w:p>
    <w:p w:rsidR="00A273A9" w:rsidRPr="00160AAE" w:rsidRDefault="00160AAE" w:rsidP="00A2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Незмінність -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273A9" w:rsidRPr="00160AAE">
        <w:rPr>
          <w:rFonts w:ascii="Times New Roman" w:hAnsi="Times New Roman" w:cs="Times New Roman"/>
          <w:sz w:val="28"/>
          <w:szCs w:val="28"/>
          <w:lang w:val="uk-UA"/>
        </w:rPr>
        <w:t>ані, зашифровані приватним ключем, однозначно належать його власнику. І угоди, здійснені на таких умовах, не мають зворотної сили.</w:t>
      </w:r>
    </w:p>
    <w:p w:rsidR="00160AAE" w:rsidRPr="00160AAE" w:rsidRDefault="00160AAE" w:rsidP="00160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Можливі недоліки при роботі із хеш-функцією: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Проблеми алгоритму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- якщо хеш-функція недостатньо складна, стає набагато простіше розшифрувати зміст цифрового підпису.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Проблеми реалізації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- навіть повністю робочий цифровий підпис не допоможе, якщо кінцева програма її не сприймає.</w:t>
      </w:r>
    </w:p>
    <w:p w:rsid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i/>
          <w:sz w:val="28"/>
          <w:szCs w:val="28"/>
          <w:lang w:val="uk-UA"/>
        </w:rPr>
        <w:t>Проблема власності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- втрата приватного ключа - найстрашніше, що може трапитися з власником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криптовалютных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активів. Це все одно, що особисто відкрити двері перед грабіжниками і детально їм розповісти, де лежать цінності в будинку.</w:t>
      </w:r>
    </w:p>
    <w:p w:rsid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Різниця цифрового та електронний підписів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>Якщо коротко, то кожний цифровий підпис - електронна. А ось зворотне правило працює далеко не завжди. Цифровими є лише ті підписи, які використовують при своєму створенні криптографію з відкритим ключем, хеш-функції і різноманітні методи шифрування.</w:t>
      </w:r>
    </w:p>
    <w:p w:rsidR="00160AAE" w:rsidRPr="00160AAE" w:rsidRDefault="00160AAE" w:rsidP="00160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b/>
          <w:sz w:val="28"/>
          <w:szCs w:val="28"/>
          <w:lang w:val="uk-UA"/>
        </w:rPr>
        <w:t>Варіанти використання: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технології. За допомогою цієї технології можна домогтися куди більшої безпеки інтернет-комунікації.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Фінанси. Аудит, кредити, звіти про витрати та інші документи, скріплені підписом, підробити і змінити заднім числом практично нереально.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Юриспруденція. Ділові угоди і контракти, в тому числі і самого високого (урядового) рівня.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>Охорона здоров'я. Незмінні рецепти і медичні дані.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Достовірність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переданої інформації. Підтвердження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криптовалютних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транзакцій.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цифрових підписів, а також унікальних алгоритмів кодування і шифрування, привело до створення унікальних електронних даних. Це та сама основа, на якій збудована сучасна система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криптовалюти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Цифрові підписи - головне підтвердження достовірності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криптовалютних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транзакцій, які свідчать про те, що монети витрачає людина, яка реально ними володіє.</w:t>
      </w:r>
    </w:p>
    <w:p w:rsidR="00160AAE" w:rsidRPr="00160AAE" w:rsidRDefault="00160AAE" w:rsidP="00160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Однак тільки однією </w:t>
      </w:r>
      <w:proofErr w:type="spellStart"/>
      <w:r w:rsidRPr="00160AAE">
        <w:rPr>
          <w:rFonts w:ascii="Times New Roman" w:hAnsi="Times New Roman" w:cs="Times New Roman"/>
          <w:sz w:val="28"/>
          <w:szCs w:val="28"/>
          <w:lang w:val="uk-UA"/>
        </w:rPr>
        <w:t>криптоекономікою</w:t>
      </w:r>
      <w:proofErr w:type="spellEnd"/>
      <w:r w:rsidRPr="00160AAE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даного способу захисту інформації не обмежується. Практично будь-яка галузь людської діяльності, в якій йде мова про унікальну електронну інформацію, може бути адаптована під використання даного способу підтвердження.</w:t>
      </w:r>
    </w:p>
    <w:sectPr w:rsidR="00160AAE" w:rsidRPr="0016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0"/>
    <w:rsid w:val="0004345D"/>
    <w:rsid w:val="00096542"/>
    <w:rsid w:val="00160AAE"/>
    <w:rsid w:val="003C33EA"/>
    <w:rsid w:val="0041303D"/>
    <w:rsid w:val="00664F00"/>
    <w:rsid w:val="00A273A9"/>
    <w:rsid w:val="00E7696D"/>
    <w:rsid w:val="00EB4BF7"/>
    <w:rsid w:val="00F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7871-2924-4917-924F-56DE4D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30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3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zo.gov.ua/ca-registry-details?type=0&amp;id=100" TargetMode="External"/><Relationship Id="rId18" Type="http://schemas.openxmlformats.org/officeDocument/2006/relationships/hyperlink" Target="https://czo.gov.ua/ca-registry-details?type=0&amp;id=112" TargetMode="External"/><Relationship Id="rId26" Type="http://schemas.openxmlformats.org/officeDocument/2006/relationships/hyperlink" Target="https://czo.gov.ua/ca-registry-details?type=0&amp;id=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zo.gov.ua/ca-registry-details?type=0&amp;id=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zo.gov.ua/ca-registry-details?type=0&amp;id=119" TargetMode="External"/><Relationship Id="rId12" Type="http://schemas.openxmlformats.org/officeDocument/2006/relationships/hyperlink" Target="https://czo.gov.ua/ca-registry-details?type=0&amp;id=100" TargetMode="External"/><Relationship Id="rId17" Type="http://schemas.openxmlformats.org/officeDocument/2006/relationships/hyperlink" Target="https://czo.gov.ua/ca-registry-details?type=0&amp;id=116" TargetMode="External"/><Relationship Id="rId25" Type="http://schemas.openxmlformats.org/officeDocument/2006/relationships/hyperlink" Target="https://czo.gov.ua/ca-registry-details?type=0&amp;id=124" TargetMode="External"/><Relationship Id="rId33" Type="http://schemas.openxmlformats.org/officeDocument/2006/relationships/hyperlink" Target="https://czo.gov.ua/ca-registry-details?type=0&amp;id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zo.gov.ua/ca-registry-details?type=0&amp;id=116" TargetMode="External"/><Relationship Id="rId20" Type="http://schemas.openxmlformats.org/officeDocument/2006/relationships/hyperlink" Target="https://czo.gov.ua/ca-registry-details?type=0&amp;id=97" TargetMode="External"/><Relationship Id="rId29" Type="http://schemas.openxmlformats.org/officeDocument/2006/relationships/hyperlink" Target="https://czo.gov.ua/ca-registry-details?type=0&amp;id=85" TargetMode="External"/><Relationship Id="rId1" Type="http://schemas.openxmlformats.org/officeDocument/2006/relationships/styles" Target="styles.xml"/><Relationship Id="rId6" Type="http://schemas.openxmlformats.org/officeDocument/2006/relationships/hyperlink" Target="https://czo.gov.ua/ca-registry-details?type=0&amp;id=119" TargetMode="External"/><Relationship Id="rId11" Type="http://schemas.openxmlformats.org/officeDocument/2006/relationships/hyperlink" Target="https://czo.gov.ua/ca-registry-details?type=0&amp;id=125" TargetMode="External"/><Relationship Id="rId24" Type="http://schemas.openxmlformats.org/officeDocument/2006/relationships/hyperlink" Target="https://czo.gov.ua/ca-registry-details?type=0&amp;id=124" TargetMode="External"/><Relationship Id="rId32" Type="http://schemas.openxmlformats.org/officeDocument/2006/relationships/hyperlink" Target="https://czo.gov.ua/ca-registry-details?type=0&amp;id=89" TargetMode="External"/><Relationship Id="rId5" Type="http://schemas.openxmlformats.org/officeDocument/2006/relationships/hyperlink" Target="https://czo.gov.ua/ca-registry-details?type=0&amp;id=93" TargetMode="External"/><Relationship Id="rId15" Type="http://schemas.openxmlformats.org/officeDocument/2006/relationships/hyperlink" Target="https://czo.gov.ua/ca-registry-details?type=0&amp;id=118" TargetMode="External"/><Relationship Id="rId23" Type="http://schemas.openxmlformats.org/officeDocument/2006/relationships/hyperlink" Target="https://czo.gov.ua/ca-registry-details?type=0&amp;id=122" TargetMode="External"/><Relationship Id="rId28" Type="http://schemas.openxmlformats.org/officeDocument/2006/relationships/hyperlink" Target="https://czo.gov.ua/ca-registry-details?type=0&amp;id=85" TargetMode="External"/><Relationship Id="rId10" Type="http://schemas.openxmlformats.org/officeDocument/2006/relationships/hyperlink" Target="https://czo.gov.ua/ca-registry-details?type=0&amp;id=125" TargetMode="External"/><Relationship Id="rId19" Type="http://schemas.openxmlformats.org/officeDocument/2006/relationships/hyperlink" Target="https://czo.gov.ua/ca-registry-details?type=0&amp;id=112" TargetMode="External"/><Relationship Id="rId31" Type="http://schemas.openxmlformats.org/officeDocument/2006/relationships/hyperlink" Target="https://czo.gov.ua/ca-registry-details?type=0&amp;id=96" TargetMode="External"/><Relationship Id="rId4" Type="http://schemas.openxmlformats.org/officeDocument/2006/relationships/hyperlink" Target="https://czo.gov.ua/ca-registry-details?type=0&amp;id=93" TargetMode="External"/><Relationship Id="rId9" Type="http://schemas.openxmlformats.org/officeDocument/2006/relationships/hyperlink" Target="https://czo.gov.ua/ca-registry-details?type=0&amp;id=117" TargetMode="External"/><Relationship Id="rId14" Type="http://schemas.openxmlformats.org/officeDocument/2006/relationships/hyperlink" Target="https://czo.gov.ua/ca-registry-details?type=0&amp;id=118" TargetMode="External"/><Relationship Id="rId22" Type="http://schemas.openxmlformats.org/officeDocument/2006/relationships/hyperlink" Target="https://czo.gov.ua/ca-registry-details?type=0&amp;id=122" TargetMode="External"/><Relationship Id="rId27" Type="http://schemas.openxmlformats.org/officeDocument/2006/relationships/hyperlink" Target="https://czo.gov.ua/ca-registry-details?type=0&amp;id=123" TargetMode="External"/><Relationship Id="rId30" Type="http://schemas.openxmlformats.org/officeDocument/2006/relationships/hyperlink" Target="https://czo.gov.ua/ca-registry-details?type=0&amp;id=9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zo.gov.ua/ca-registry-details?type=0&amp;id=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2024-02-05T16:25:00Z</dcterms:created>
  <dcterms:modified xsi:type="dcterms:W3CDTF">2024-02-05T16:25:00Z</dcterms:modified>
</cp:coreProperties>
</file>