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lang w:val="ru-RU" w:eastAsia="ru-RU" w:bidi="ru-RU"/>
        </w:rPr>
        <w:t xml:space="preserve">ТЕМА </w:t>
      </w:r>
      <w:r w:rsidR="00B343CC">
        <w:rPr>
          <w:rFonts w:ascii="Times New Roman" w:hAnsi="Times New Roman" w:cs="Times New Roman"/>
          <w:sz w:val="28"/>
          <w:szCs w:val="28"/>
          <w:lang w:val="ru-RU" w:eastAsia="ru-RU" w:bidi="ru-RU"/>
        </w:rPr>
        <w:t>7</w:t>
      </w:r>
      <w:r w:rsidR="00B117D2" w:rsidRPr="00B117D2">
        <w:rPr>
          <w:rFonts w:ascii="Times New Roman" w:hAnsi="Times New Roman" w:cs="Times New Roman"/>
          <w:sz w:val="28"/>
          <w:szCs w:val="28"/>
          <w:lang w:val="ru-RU" w:eastAsia="ru-RU" w:bidi="ru-RU"/>
        </w:rPr>
        <w:t xml:space="preserve"> </w:t>
      </w:r>
      <w:r w:rsidRPr="00B117D2">
        <w:rPr>
          <w:rFonts w:ascii="Times New Roman" w:hAnsi="Times New Roman" w:cs="Times New Roman"/>
          <w:sz w:val="28"/>
          <w:szCs w:val="28"/>
        </w:rPr>
        <w:t xml:space="preserve">ДІАГНОСТИКА </w:t>
      </w:r>
      <w:r w:rsidRPr="00B117D2">
        <w:rPr>
          <w:rFonts w:ascii="Times New Roman" w:hAnsi="Times New Roman" w:cs="Times New Roman"/>
          <w:sz w:val="28"/>
          <w:szCs w:val="28"/>
          <w:lang w:val="ru-RU" w:eastAsia="ru-RU" w:bidi="ru-RU"/>
        </w:rPr>
        <w:t xml:space="preserve">КОНКУРЕНТНОГО </w:t>
      </w:r>
      <w:r w:rsidRPr="00B117D2">
        <w:rPr>
          <w:rFonts w:ascii="Times New Roman" w:hAnsi="Times New Roman" w:cs="Times New Roman"/>
          <w:sz w:val="28"/>
          <w:szCs w:val="28"/>
        </w:rPr>
        <w:t>СЕРЕДОВИЩА СУБ’ЄКТА ПІДПРИЄМНИЦЬКОЇ ДІЯЛЬНОСТІ</w:t>
      </w:r>
    </w:p>
    <w:p w:rsidR="00B5351D" w:rsidRPr="00B117D2" w:rsidRDefault="0032518A" w:rsidP="00B117D2">
      <w:pPr>
        <w:ind w:firstLine="709"/>
        <w:jc w:val="both"/>
        <w:rPr>
          <w:rFonts w:ascii="Times New Roman" w:hAnsi="Times New Roman" w:cs="Times New Roman"/>
          <w:sz w:val="28"/>
          <w:szCs w:val="28"/>
        </w:rPr>
      </w:pPr>
      <w:r w:rsidRPr="00B117D2">
        <w:rPr>
          <w:rFonts w:ascii="Times New Roman" w:hAnsi="Times New Roman" w:cs="Times New Roman"/>
          <w:sz w:val="28"/>
          <w:szCs w:val="28"/>
        </w:rPr>
        <w:t>1. Сутність конкурентного середовища та його складові</w:t>
      </w:r>
    </w:p>
    <w:p w:rsidR="00B5351D" w:rsidRPr="00B117D2" w:rsidRDefault="0032518A" w:rsidP="00B117D2">
      <w:pPr>
        <w:ind w:firstLine="709"/>
        <w:jc w:val="both"/>
        <w:rPr>
          <w:rFonts w:ascii="Times New Roman" w:hAnsi="Times New Roman" w:cs="Times New Roman"/>
          <w:sz w:val="28"/>
          <w:szCs w:val="28"/>
        </w:rPr>
      </w:pPr>
      <w:r w:rsidRPr="00B117D2">
        <w:rPr>
          <w:rFonts w:ascii="Times New Roman" w:hAnsi="Times New Roman" w:cs="Times New Roman"/>
          <w:sz w:val="28"/>
          <w:szCs w:val="28"/>
        </w:rPr>
        <w:t>2. Методика діагностики конкурентного середовища суб’єкта підприємницької діяльності</w:t>
      </w:r>
    </w:p>
    <w:p w:rsidR="00B5351D" w:rsidRPr="00B117D2" w:rsidRDefault="0032518A" w:rsidP="00B117D2">
      <w:pPr>
        <w:ind w:firstLine="709"/>
        <w:jc w:val="both"/>
        <w:rPr>
          <w:rFonts w:ascii="Times New Roman" w:hAnsi="Times New Roman" w:cs="Times New Roman"/>
          <w:sz w:val="28"/>
          <w:szCs w:val="28"/>
        </w:rPr>
      </w:pPr>
      <w:r w:rsidRPr="00B117D2">
        <w:rPr>
          <w:rFonts w:ascii="Times New Roman" w:hAnsi="Times New Roman" w:cs="Times New Roman"/>
          <w:sz w:val="28"/>
          <w:szCs w:val="28"/>
        </w:rPr>
        <w:t>3. Оцінювання конкурентних сил та визначення типу ринку</w:t>
      </w:r>
    </w:p>
    <w:p w:rsidR="00B5351D" w:rsidRPr="00B117D2" w:rsidRDefault="0032518A" w:rsidP="00B117D2">
      <w:pPr>
        <w:ind w:firstLine="709"/>
        <w:jc w:val="both"/>
        <w:rPr>
          <w:rFonts w:ascii="Times New Roman" w:hAnsi="Times New Roman" w:cs="Times New Roman"/>
          <w:sz w:val="28"/>
          <w:szCs w:val="28"/>
        </w:rPr>
      </w:pPr>
      <w:r w:rsidRPr="00B117D2">
        <w:rPr>
          <w:rFonts w:ascii="Times New Roman" w:hAnsi="Times New Roman" w:cs="Times New Roman"/>
          <w:sz w:val="28"/>
          <w:szCs w:val="28"/>
        </w:rPr>
        <w:t>4. Оцінювання інтенсивності конкуренції та ступеня монополізації ринку</w:t>
      </w:r>
    </w:p>
    <w:p w:rsidR="00B5351D" w:rsidRPr="00B117D2" w:rsidRDefault="0032518A" w:rsidP="00B117D2">
      <w:pPr>
        <w:ind w:firstLine="709"/>
        <w:jc w:val="both"/>
        <w:rPr>
          <w:rFonts w:ascii="Times New Roman" w:hAnsi="Times New Roman" w:cs="Times New Roman"/>
          <w:sz w:val="28"/>
          <w:szCs w:val="28"/>
        </w:rPr>
      </w:pPr>
      <w:r w:rsidRPr="00B117D2">
        <w:rPr>
          <w:rFonts w:ascii="Times New Roman" w:hAnsi="Times New Roman" w:cs="Times New Roman"/>
          <w:sz w:val="28"/>
          <w:szCs w:val="28"/>
        </w:rPr>
        <w:t>5. Аналіз конкурентних позицій суб’єкта підприємницької діяльності на ринку</w:t>
      </w:r>
    </w:p>
    <w:p w:rsidR="00B117D2" w:rsidRDefault="00B117D2" w:rsidP="00B117D2">
      <w:pPr>
        <w:tabs>
          <w:tab w:val="left" w:pos="1808"/>
        </w:tabs>
        <w:ind w:firstLine="709"/>
        <w:jc w:val="both"/>
        <w:rPr>
          <w:rFonts w:ascii="Times New Roman" w:hAnsi="Times New Roman" w:cs="Times New Roman"/>
          <w:sz w:val="28"/>
          <w:szCs w:val="28"/>
        </w:rPr>
      </w:pPr>
    </w:p>
    <w:p w:rsidR="00B5351D" w:rsidRPr="00B117D2" w:rsidRDefault="0032518A" w:rsidP="00B117D2">
      <w:pPr>
        <w:tabs>
          <w:tab w:val="left" w:pos="1808"/>
        </w:tabs>
        <w:spacing w:line="288" w:lineRule="auto"/>
        <w:ind w:firstLine="709"/>
        <w:jc w:val="both"/>
        <w:rPr>
          <w:rFonts w:ascii="Times New Roman" w:hAnsi="Times New Roman" w:cs="Times New Roman"/>
          <w:b/>
          <w:sz w:val="28"/>
          <w:szCs w:val="28"/>
        </w:rPr>
      </w:pPr>
      <w:r w:rsidRPr="00B117D2">
        <w:rPr>
          <w:rFonts w:ascii="Times New Roman" w:hAnsi="Times New Roman" w:cs="Times New Roman"/>
          <w:b/>
          <w:sz w:val="28"/>
          <w:szCs w:val="28"/>
        </w:rPr>
        <w:t>1. Сутність конкурентного середовища та його складові</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Конкурентне середовища - це результат і умови взаємодії великої кількості суб’єктів ринку, що визначають відповідний рівень економічного суперництва і можливість впливу окремих економічних агентів на загальну ринкову ситуацію. Важливим є те, що конкурентне середовище утворюється не лише і не стільки власне суб’єктами ринку, взаємодія яких спричиняє суперництво, але насамперед - відносинами між ними.</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Конкурентне середовище є системою взаємовідносин, для якої характерні такі риси, як:</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цілісність;</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ієрархічна структура (єдність зв’язків між елементами, їх ієрархія);</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взаємодія, взаємозалежність (взаємний вплив елементів);</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спрямованість (здатність системи розвиватися відповідно до визначеної</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мети).</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Такий підхід ґрунтується на тому, що конкурентне середовище для суб’єкта підприємницької діяльності - це обумовлений стан ринку, результат дії окремих, економічних агентів, у тому числі й держави. Суб’єкту підприємницької діяльності, який сам є елементом конкурентного середовища, необхідно для виживання оперативно реагувати на велику кількість чинників, що формують конкурентне середовище.</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Крім </w:t>
      </w:r>
      <w:r w:rsidRPr="00B117D2">
        <w:rPr>
          <w:rFonts w:ascii="Times New Roman" w:hAnsi="Times New Roman" w:cs="Times New Roman"/>
          <w:sz w:val="28"/>
          <w:szCs w:val="28"/>
          <w:lang w:val="ru-RU" w:eastAsia="ru-RU" w:bidi="ru-RU"/>
        </w:rPr>
        <w:t xml:space="preserve">того, </w:t>
      </w:r>
      <w:r w:rsidRPr="00B117D2">
        <w:rPr>
          <w:rFonts w:ascii="Times New Roman" w:hAnsi="Times New Roman" w:cs="Times New Roman"/>
          <w:sz w:val="28"/>
          <w:szCs w:val="28"/>
        </w:rPr>
        <w:t>конкурентне середовище - це складна економічна категорія, яка характеризує взаємодію окремих суб’єктів підприємницької діяльності, держави, інститутів колективного захисту, факторів зовнішнього і внутрішнього видів впливу на умови підприємницької діяльності, що виз</w:t>
      </w:r>
      <w:r w:rsidRPr="00B117D2">
        <w:rPr>
          <w:rFonts w:ascii="Times New Roman" w:hAnsi="Times New Roman" w:cs="Times New Roman"/>
          <w:sz w:val="28"/>
          <w:szCs w:val="28"/>
        </w:rPr>
        <w:softHyphen/>
        <w:t>начають відповідний рівень економічного суперництва та вагомість впливу окремих економічних агентів на загальну ринкову ситуацію.</w:t>
      </w:r>
    </w:p>
    <w:p w:rsidR="0032518A"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Оскільки ринок одночасно може об’єднувати декілька конкурентних середовищ, класифікація останнього повинна бути більш диференційована (табл.1). </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lastRenderedPageBreak/>
        <w:t>Таблиця 1</w:t>
      </w:r>
      <w:r w:rsidR="00B117D2" w:rsidRPr="00B117D2">
        <w:rPr>
          <w:rFonts w:ascii="Times New Roman" w:hAnsi="Times New Roman" w:cs="Times New Roman"/>
          <w:sz w:val="28"/>
          <w:szCs w:val="28"/>
        </w:rPr>
        <w:t xml:space="preserve"> </w:t>
      </w:r>
      <w:r w:rsidRPr="00B117D2">
        <w:rPr>
          <w:rFonts w:ascii="Times New Roman" w:hAnsi="Times New Roman" w:cs="Times New Roman"/>
          <w:sz w:val="28"/>
          <w:szCs w:val="28"/>
        </w:rPr>
        <w:t xml:space="preserve">Класифікація конкурентного середовища </w:t>
      </w:r>
    </w:p>
    <w:tbl>
      <w:tblPr>
        <w:tblOverlap w:val="never"/>
        <w:tblW w:w="0" w:type="auto"/>
        <w:tblLayout w:type="fixed"/>
        <w:tblCellMar>
          <w:left w:w="10" w:type="dxa"/>
          <w:right w:w="10" w:type="dxa"/>
        </w:tblCellMar>
        <w:tblLook w:val="04A0"/>
      </w:tblPr>
      <w:tblGrid>
        <w:gridCol w:w="1819"/>
        <w:gridCol w:w="8050"/>
      </w:tblGrid>
      <w:tr w:rsidR="00B5351D" w:rsidRPr="00102A2E">
        <w:trPr>
          <w:trHeight w:val="571"/>
        </w:trPr>
        <w:tc>
          <w:tcPr>
            <w:tcW w:w="1819"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Класифікаційні</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ознаки</w:t>
            </w:r>
          </w:p>
        </w:tc>
        <w:tc>
          <w:tcPr>
            <w:tcW w:w="8050"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Види конкурентного середовища</w:t>
            </w:r>
          </w:p>
        </w:tc>
      </w:tr>
      <w:tr w:rsidR="00B5351D" w:rsidRPr="00102A2E">
        <w:trPr>
          <w:trHeight w:val="3149"/>
        </w:trPr>
        <w:tc>
          <w:tcPr>
            <w:tcW w:w="1819"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Об’єкт купівлі</w:t>
            </w:r>
          </w:p>
        </w:tc>
        <w:tc>
          <w:tcPr>
            <w:tcW w:w="8050"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tabs>
                <w:tab w:val="left" w:pos="302"/>
              </w:tabs>
              <w:jc w:val="both"/>
              <w:rPr>
                <w:rFonts w:ascii="Times New Roman" w:hAnsi="Times New Roman" w:cs="Times New Roman"/>
              </w:rPr>
            </w:pPr>
            <w:r w:rsidRPr="00102A2E">
              <w:rPr>
                <w:rFonts w:ascii="Times New Roman" w:hAnsi="Times New Roman" w:cs="Times New Roman"/>
              </w:rPr>
              <w:t>- конкурентне середовище товарів (засобів виробництва, предметів споживання (товарів тривалого та короткочасного використання));</w:t>
            </w:r>
          </w:p>
          <w:p w:rsidR="00B5351D" w:rsidRPr="00102A2E" w:rsidRDefault="0032518A" w:rsidP="00102A2E">
            <w:pPr>
              <w:tabs>
                <w:tab w:val="left" w:pos="307"/>
              </w:tabs>
              <w:jc w:val="both"/>
              <w:rPr>
                <w:rFonts w:ascii="Times New Roman" w:hAnsi="Times New Roman" w:cs="Times New Roman"/>
              </w:rPr>
            </w:pPr>
            <w:r w:rsidRPr="00102A2E">
              <w:rPr>
                <w:rFonts w:ascii="Times New Roman" w:hAnsi="Times New Roman" w:cs="Times New Roman"/>
              </w:rPr>
              <w:t>- конкурентне середовище інформації (взаємодія академічних та науково- технічних об’єднань, державних установ, навчальних закладів, комерційних організацій, які займаються збором, обробкою та аналізом інформації і надають її за необхідності різним суб’єктам ринку);</w:t>
            </w:r>
          </w:p>
          <w:p w:rsidR="00B5351D" w:rsidRPr="00102A2E" w:rsidRDefault="0032518A" w:rsidP="00102A2E">
            <w:pPr>
              <w:tabs>
                <w:tab w:val="left" w:pos="307"/>
              </w:tabs>
              <w:jc w:val="both"/>
              <w:rPr>
                <w:rFonts w:ascii="Times New Roman" w:hAnsi="Times New Roman" w:cs="Times New Roman"/>
              </w:rPr>
            </w:pPr>
            <w:r w:rsidRPr="00102A2E">
              <w:rPr>
                <w:rFonts w:ascii="Times New Roman" w:hAnsi="Times New Roman" w:cs="Times New Roman"/>
              </w:rPr>
              <w:t>- конкурентне середовище послуг (ресторанного господарства, охорони здоров’я, освіти);</w:t>
            </w:r>
          </w:p>
          <w:p w:rsidR="00B5351D" w:rsidRPr="00102A2E" w:rsidRDefault="0032518A" w:rsidP="00102A2E">
            <w:pPr>
              <w:tabs>
                <w:tab w:val="left" w:pos="182"/>
              </w:tabs>
              <w:jc w:val="both"/>
              <w:rPr>
                <w:rFonts w:ascii="Times New Roman" w:hAnsi="Times New Roman" w:cs="Times New Roman"/>
              </w:rPr>
            </w:pPr>
            <w:r w:rsidRPr="00102A2E">
              <w:rPr>
                <w:rFonts w:ascii="Times New Roman" w:hAnsi="Times New Roman" w:cs="Times New Roman"/>
              </w:rPr>
              <w:t>- конкурентне середовище науково-технічних розробок;</w:t>
            </w:r>
          </w:p>
          <w:p w:rsidR="00B5351D" w:rsidRPr="00102A2E" w:rsidRDefault="0032518A" w:rsidP="00102A2E">
            <w:pPr>
              <w:tabs>
                <w:tab w:val="left" w:pos="182"/>
              </w:tabs>
              <w:jc w:val="both"/>
              <w:rPr>
                <w:rFonts w:ascii="Times New Roman" w:hAnsi="Times New Roman" w:cs="Times New Roman"/>
              </w:rPr>
            </w:pPr>
            <w:r w:rsidRPr="00102A2E">
              <w:rPr>
                <w:rFonts w:ascii="Times New Roman" w:hAnsi="Times New Roman" w:cs="Times New Roman"/>
              </w:rPr>
              <w:t>- конкурентне середовище капіталів (грошей та цінних паперів);</w:t>
            </w:r>
          </w:p>
          <w:p w:rsidR="00B5351D" w:rsidRPr="00102A2E" w:rsidRDefault="0032518A" w:rsidP="00102A2E">
            <w:pPr>
              <w:tabs>
                <w:tab w:val="left" w:pos="182"/>
              </w:tabs>
              <w:jc w:val="both"/>
              <w:rPr>
                <w:rFonts w:ascii="Times New Roman" w:hAnsi="Times New Roman" w:cs="Times New Roman"/>
              </w:rPr>
            </w:pPr>
            <w:r w:rsidRPr="00102A2E">
              <w:rPr>
                <w:rFonts w:ascii="Times New Roman" w:hAnsi="Times New Roman" w:cs="Times New Roman"/>
              </w:rPr>
              <w:t>- конкурентне середовище трудових ресурсів</w:t>
            </w:r>
          </w:p>
        </w:tc>
      </w:tr>
      <w:tr w:rsidR="00B5351D" w:rsidRPr="00102A2E" w:rsidTr="00B117D2">
        <w:trPr>
          <w:trHeight w:val="3378"/>
        </w:trPr>
        <w:tc>
          <w:tcPr>
            <w:tcW w:w="1819"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Територіальна</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ознака</w:t>
            </w:r>
          </w:p>
        </w:tc>
        <w:tc>
          <w:tcPr>
            <w:tcW w:w="8050"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tabs>
                <w:tab w:val="left" w:pos="302"/>
              </w:tabs>
              <w:jc w:val="both"/>
              <w:rPr>
                <w:rFonts w:ascii="Times New Roman" w:hAnsi="Times New Roman" w:cs="Times New Roman"/>
              </w:rPr>
            </w:pPr>
            <w:r w:rsidRPr="00102A2E">
              <w:rPr>
                <w:rFonts w:ascii="Times New Roman" w:hAnsi="Times New Roman" w:cs="Times New Roman"/>
              </w:rPr>
              <w:t>- світове конкурентне середовище (охоплює всіх виробників конкретної продукції);</w:t>
            </w:r>
          </w:p>
          <w:p w:rsidR="00B5351D" w:rsidRPr="00102A2E" w:rsidRDefault="0032518A" w:rsidP="00102A2E">
            <w:pPr>
              <w:tabs>
                <w:tab w:val="left" w:pos="302"/>
              </w:tabs>
              <w:jc w:val="both"/>
              <w:rPr>
                <w:rFonts w:ascii="Times New Roman" w:hAnsi="Times New Roman" w:cs="Times New Roman"/>
              </w:rPr>
            </w:pPr>
            <w:r w:rsidRPr="00102A2E">
              <w:rPr>
                <w:rFonts w:ascii="Times New Roman" w:hAnsi="Times New Roman" w:cs="Times New Roman"/>
              </w:rPr>
              <w:t>- міжнародне конкурентне середовище (включає виробників декількох країн);</w:t>
            </w:r>
          </w:p>
          <w:p w:rsidR="00B5351D" w:rsidRPr="00102A2E" w:rsidRDefault="0032518A" w:rsidP="00102A2E">
            <w:pPr>
              <w:tabs>
                <w:tab w:val="left" w:pos="302"/>
              </w:tabs>
              <w:jc w:val="both"/>
              <w:rPr>
                <w:rFonts w:ascii="Times New Roman" w:hAnsi="Times New Roman" w:cs="Times New Roman"/>
              </w:rPr>
            </w:pPr>
            <w:r w:rsidRPr="00102A2E">
              <w:rPr>
                <w:rFonts w:ascii="Times New Roman" w:hAnsi="Times New Roman" w:cs="Times New Roman"/>
              </w:rPr>
              <w:t>- національне конкурентне середовище (охоплює вітчизняних виробників продукції);</w:t>
            </w:r>
          </w:p>
          <w:p w:rsidR="00B5351D" w:rsidRPr="00102A2E" w:rsidRDefault="0032518A" w:rsidP="00102A2E">
            <w:pPr>
              <w:tabs>
                <w:tab w:val="left" w:pos="307"/>
              </w:tabs>
              <w:jc w:val="both"/>
              <w:rPr>
                <w:rFonts w:ascii="Times New Roman" w:hAnsi="Times New Roman" w:cs="Times New Roman"/>
              </w:rPr>
            </w:pPr>
            <w:r w:rsidRPr="00102A2E">
              <w:rPr>
                <w:rFonts w:ascii="Times New Roman" w:hAnsi="Times New Roman" w:cs="Times New Roman"/>
              </w:rPr>
              <w:t>- міжрегіональне конкурентне середовище (формується на межі регіонів та характеризується особливостями функціонування суб’єктів підприємницької діяльності у граничному ринковому просторі регіонів);</w:t>
            </w:r>
          </w:p>
          <w:p w:rsidR="00B5351D" w:rsidRPr="00102A2E" w:rsidRDefault="0032518A" w:rsidP="00102A2E">
            <w:pPr>
              <w:tabs>
                <w:tab w:val="left" w:pos="178"/>
              </w:tabs>
              <w:jc w:val="both"/>
              <w:rPr>
                <w:rFonts w:ascii="Times New Roman" w:hAnsi="Times New Roman" w:cs="Times New Roman"/>
              </w:rPr>
            </w:pPr>
            <w:r w:rsidRPr="00102A2E">
              <w:rPr>
                <w:rFonts w:ascii="Times New Roman" w:hAnsi="Times New Roman" w:cs="Times New Roman"/>
              </w:rPr>
              <w:t>- регіональне конкурентне середовище;</w:t>
            </w:r>
          </w:p>
          <w:p w:rsidR="00B5351D" w:rsidRPr="00102A2E" w:rsidRDefault="0032518A" w:rsidP="00102A2E">
            <w:pPr>
              <w:tabs>
                <w:tab w:val="left" w:pos="307"/>
              </w:tabs>
              <w:jc w:val="both"/>
              <w:rPr>
                <w:rFonts w:ascii="Times New Roman" w:hAnsi="Times New Roman" w:cs="Times New Roman"/>
              </w:rPr>
            </w:pPr>
            <w:r w:rsidRPr="00102A2E">
              <w:rPr>
                <w:rFonts w:ascii="Times New Roman" w:hAnsi="Times New Roman" w:cs="Times New Roman"/>
              </w:rPr>
              <w:t>- міжрайонне конкурентне середовище (формується на межі районів та характеризується особливостями взаємодії суб’єктів бізнесу цих районів);</w:t>
            </w:r>
          </w:p>
          <w:p w:rsidR="00B5351D" w:rsidRPr="00102A2E" w:rsidRDefault="0032518A" w:rsidP="00102A2E">
            <w:pPr>
              <w:tabs>
                <w:tab w:val="left" w:pos="178"/>
              </w:tabs>
              <w:jc w:val="both"/>
              <w:rPr>
                <w:rFonts w:ascii="Times New Roman" w:hAnsi="Times New Roman" w:cs="Times New Roman"/>
              </w:rPr>
            </w:pPr>
            <w:r w:rsidRPr="00102A2E">
              <w:rPr>
                <w:rFonts w:ascii="Times New Roman" w:hAnsi="Times New Roman" w:cs="Times New Roman"/>
              </w:rPr>
              <w:t>- районне конкурентне середовище;</w:t>
            </w:r>
          </w:p>
          <w:p w:rsidR="00B5351D" w:rsidRPr="00102A2E" w:rsidRDefault="0032518A" w:rsidP="00102A2E">
            <w:pPr>
              <w:tabs>
                <w:tab w:val="left" w:pos="187"/>
              </w:tabs>
              <w:jc w:val="both"/>
              <w:rPr>
                <w:rFonts w:ascii="Times New Roman" w:hAnsi="Times New Roman" w:cs="Times New Roman"/>
              </w:rPr>
            </w:pPr>
            <w:r w:rsidRPr="00102A2E">
              <w:rPr>
                <w:rFonts w:ascii="Times New Roman" w:hAnsi="Times New Roman" w:cs="Times New Roman"/>
              </w:rPr>
              <w:t>- місцеве (локальне) конкурентне середовище (включає суб’єкти бізнесу, які здійснюють діяльність у конкретно обумовленому місці);</w:t>
            </w:r>
          </w:p>
          <w:p w:rsidR="00B5351D" w:rsidRPr="00102A2E" w:rsidRDefault="0032518A" w:rsidP="00102A2E">
            <w:pPr>
              <w:tabs>
                <w:tab w:val="left" w:pos="182"/>
              </w:tabs>
              <w:jc w:val="both"/>
              <w:rPr>
                <w:rFonts w:ascii="Times New Roman" w:hAnsi="Times New Roman" w:cs="Times New Roman"/>
              </w:rPr>
            </w:pPr>
            <w:r w:rsidRPr="00102A2E">
              <w:rPr>
                <w:rFonts w:ascii="Times New Roman" w:hAnsi="Times New Roman" w:cs="Times New Roman"/>
              </w:rPr>
              <w:t>- конкурентне середовище суб’єкта підприємницької діяльності</w:t>
            </w:r>
          </w:p>
        </w:tc>
      </w:tr>
      <w:tr w:rsidR="00B5351D" w:rsidRPr="00102A2E" w:rsidTr="00B117D2">
        <w:trPr>
          <w:trHeight w:val="1070"/>
        </w:trPr>
        <w:tc>
          <w:tcPr>
            <w:tcW w:w="1819" w:type="dxa"/>
            <w:tcBorders>
              <w:top w:val="single" w:sz="4" w:space="0" w:color="auto"/>
              <w:left w:val="single" w:sz="4" w:space="0" w:color="auto"/>
              <w:bottom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За моделями конкуренції на ринку</w:t>
            </w:r>
          </w:p>
        </w:tc>
        <w:tc>
          <w:tcPr>
            <w:tcW w:w="8050" w:type="dxa"/>
            <w:tcBorders>
              <w:top w:val="single" w:sz="4" w:space="0" w:color="auto"/>
              <w:left w:val="single" w:sz="4" w:space="0" w:color="auto"/>
              <w:bottom w:val="single" w:sz="4" w:space="0" w:color="auto"/>
              <w:right w:val="single" w:sz="4" w:space="0" w:color="auto"/>
            </w:tcBorders>
            <w:shd w:val="clear" w:color="auto" w:fill="FFFFFF"/>
            <w:vAlign w:val="bottom"/>
          </w:tcPr>
          <w:p w:rsidR="00B5351D" w:rsidRPr="00102A2E" w:rsidRDefault="0032518A" w:rsidP="00102A2E">
            <w:pPr>
              <w:tabs>
                <w:tab w:val="left" w:pos="182"/>
              </w:tabs>
              <w:jc w:val="both"/>
              <w:rPr>
                <w:rFonts w:ascii="Times New Roman" w:hAnsi="Times New Roman" w:cs="Times New Roman"/>
              </w:rPr>
            </w:pPr>
            <w:r w:rsidRPr="00102A2E">
              <w:rPr>
                <w:rFonts w:ascii="Times New Roman" w:hAnsi="Times New Roman" w:cs="Times New Roman"/>
              </w:rPr>
              <w:t>- конкурентне середовище досконалої конкуренції;</w:t>
            </w:r>
          </w:p>
          <w:p w:rsidR="00B5351D" w:rsidRPr="00102A2E" w:rsidRDefault="0032518A" w:rsidP="00102A2E">
            <w:pPr>
              <w:tabs>
                <w:tab w:val="left" w:pos="302"/>
              </w:tabs>
              <w:jc w:val="both"/>
              <w:rPr>
                <w:rFonts w:ascii="Times New Roman" w:hAnsi="Times New Roman" w:cs="Times New Roman"/>
              </w:rPr>
            </w:pPr>
            <w:r w:rsidRPr="00102A2E">
              <w:rPr>
                <w:rFonts w:ascii="Times New Roman" w:hAnsi="Times New Roman" w:cs="Times New Roman"/>
              </w:rPr>
              <w:t>- конкурентне середовище монополії (закритої монополії, природної монополії, біларальної монополії та відкритої монополії);</w:t>
            </w:r>
          </w:p>
          <w:p w:rsidR="00B5351D" w:rsidRPr="00102A2E" w:rsidRDefault="0032518A" w:rsidP="00102A2E">
            <w:pPr>
              <w:tabs>
                <w:tab w:val="left" w:pos="307"/>
              </w:tabs>
              <w:jc w:val="both"/>
              <w:rPr>
                <w:rFonts w:ascii="Times New Roman" w:hAnsi="Times New Roman" w:cs="Times New Roman"/>
              </w:rPr>
            </w:pPr>
            <w:r w:rsidRPr="00102A2E">
              <w:rPr>
                <w:rFonts w:ascii="Times New Roman" w:hAnsi="Times New Roman" w:cs="Times New Roman"/>
              </w:rPr>
              <w:t>- конкурентне середовище олігополії (в якому між олігополіями відсутня угода або існує взаємозв’язок між олігополіями, який виражається в певній угоді між ними);</w:t>
            </w:r>
          </w:p>
          <w:p w:rsidR="00B5351D" w:rsidRPr="00102A2E" w:rsidRDefault="0032518A" w:rsidP="00102A2E">
            <w:pPr>
              <w:tabs>
                <w:tab w:val="left" w:pos="182"/>
              </w:tabs>
              <w:jc w:val="both"/>
              <w:rPr>
                <w:rFonts w:ascii="Times New Roman" w:hAnsi="Times New Roman" w:cs="Times New Roman"/>
              </w:rPr>
            </w:pPr>
            <w:r w:rsidRPr="00102A2E">
              <w:rPr>
                <w:rFonts w:ascii="Times New Roman" w:hAnsi="Times New Roman" w:cs="Times New Roman"/>
              </w:rPr>
              <w:t>- конкурентне середовище монополістичної конкуренції</w:t>
            </w:r>
          </w:p>
        </w:tc>
      </w:tr>
    </w:tbl>
    <w:p w:rsidR="00102A2E" w:rsidRDefault="00102A2E" w:rsidP="00102A2E">
      <w:pPr>
        <w:ind w:firstLine="360"/>
        <w:jc w:val="both"/>
        <w:rPr>
          <w:rFonts w:ascii="Times New Roman" w:hAnsi="Times New Roman" w:cs="Times New Roman"/>
        </w:rPr>
      </w:pP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Конкурентне середовище доцільно розглядати як засіб законодавчо гарантованого забезпечення споживачів визначеною структурою і об’ємом товарних ресурсів згідно з нормативними обмеженнями “споживчого кошика”. Лише ефективна конкуренція є умовою зменшення вартості “споживчого кошика” та забезпечення його відповідності з купівельною спроможністю населення.</w:t>
      </w:r>
    </w:p>
    <w:p w:rsidR="0032518A"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Територіальну характеристику конкурентного середовища відображає термін “рух товарних ресурсів”, відповідні йому технологічні та організаційно- економічні елементи. Як правило, розглядають лише умовну спрямованість руху товарів, тобто “виробник-споживач”. Деталізація напрямків виробництва і </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 </w:t>
      </w:r>
      <w:r w:rsidRPr="00B117D2">
        <w:rPr>
          <w:rFonts w:ascii="Times New Roman" w:hAnsi="Times New Roman" w:cs="Times New Roman"/>
          <w:sz w:val="28"/>
          <w:szCs w:val="28"/>
          <w:lang w:val="ru-RU" w:eastAsia="ru-RU" w:bidi="ru-RU"/>
        </w:rPr>
        <w:t xml:space="preserve">використання товарних </w:t>
      </w:r>
      <w:r w:rsidRPr="00B117D2">
        <w:rPr>
          <w:rFonts w:ascii="Times New Roman" w:hAnsi="Times New Roman" w:cs="Times New Roman"/>
          <w:sz w:val="28"/>
          <w:szCs w:val="28"/>
        </w:rPr>
        <w:t xml:space="preserve">ресурсів </w:t>
      </w:r>
      <w:r w:rsidRPr="00B117D2">
        <w:rPr>
          <w:rFonts w:ascii="Times New Roman" w:hAnsi="Times New Roman" w:cs="Times New Roman"/>
          <w:sz w:val="28"/>
          <w:szCs w:val="28"/>
          <w:lang w:val="ru-RU" w:eastAsia="ru-RU" w:bidi="ru-RU"/>
        </w:rPr>
        <w:t xml:space="preserve">дозволить визначити </w:t>
      </w:r>
      <w:r w:rsidRPr="00B117D2">
        <w:rPr>
          <w:rFonts w:ascii="Times New Roman" w:hAnsi="Times New Roman" w:cs="Times New Roman"/>
          <w:sz w:val="28"/>
          <w:szCs w:val="28"/>
        </w:rPr>
        <w:t xml:space="preserve">регіональну </w:t>
      </w:r>
      <w:r w:rsidRPr="00B117D2">
        <w:rPr>
          <w:rFonts w:ascii="Times New Roman" w:hAnsi="Times New Roman" w:cs="Times New Roman"/>
          <w:sz w:val="28"/>
          <w:szCs w:val="28"/>
        </w:rPr>
        <w:lastRenderedPageBreak/>
        <w:t xml:space="preserve">(міжнародну) конкурентоспроможність </w:t>
      </w:r>
      <w:r w:rsidRPr="00B117D2">
        <w:rPr>
          <w:rFonts w:ascii="Times New Roman" w:hAnsi="Times New Roman" w:cs="Times New Roman"/>
          <w:sz w:val="28"/>
          <w:szCs w:val="28"/>
          <w:lang w:val="ru-RU" w:eastAsia="ru-RU" w:bidi="ru-RU"/>
        </w:rPr>
        <w:t xml:space="preserve">ринку. </w:t>
      </w:r>
      <w:r w:rsidRPr="00B117D2">
        <w:rPr>
          <w:rFonts w:ascii="Times New Roman" w:hAnsi="Times New Roman" w:cs="Times New Roman"/>
          <w:sz w:val="28"/>
          <w:szCs w:val="28"/>
        </w:rPr>
        <w:t xml:space="preserve">Виникає </w:t>
      </w:r>
      <w:r w:rsidRPr="00B117D2">
        <w:rPr>
          <w:rFonts w:ascii="Times New Roman" w:hAnsi="Times New Roman" w:cs="Times New Roman"/>
          <w:sz w:val="28"/>
          <w:szCs w:val="28"/>
          <w:lang w:val="ru-RU" w:eastAsia="ru-RU" w:bidi="ru-RU"/>
        </w:rPr>
        <w:t xml:space="preserve">проблема </w:t>
      </w:r>
      <w:r w:rsidRPr="00B117D2">
        <w:rPr>
          <w:rFonts w:ascii="Times New Roman" w:hAnsi="Times New Roman" w:cs="Times New Roman"/>
          <w:sz w:val="28"/>
          <w:szCs w:val="28"/>
        </w:rPr>
        <w:t xml:space="preserve">інформаційного </w:t>
      </w:r>
      <w:r w:rsidRPr="00B117D2">
        <w:rPr>
          <w:rFonts w:ascii="Times New Roman" w:hAnsi="Times New Roman" w:cs="Times New Roman"/>
          <w:sz w:val="28"/>
          <w:szCs w:val="28"/>
          <w:lang w:val="ru-RU" w:eastAsia="ru-RU" w:bidi="ru-RU"/>
        </w:rPr>
        <w:t xml:space="preserve">забезпечення вивчення руху товарних </w:t>
      </w:r>
      <w:r w:rsidRPr="00B117D2">
        <w:rPr>
          <w:rFonts w:ascii="Times New Roman" w:hAnsi="Times New Roman" w:cs="Times New Roman"/>
          <w:sz w:val="28"/>
          <w:szCs w:val="28"/>
        </w:rPr>
        <w:t xml:space="preserve">ресурсів </w:t>
      </w:r>
      <w:r w:rsidRPr="00B117D2">
        <w:rPr>
          <w:rFonts w:ascii="Times New Roman" w:hAnsi="Times New Roman" w:cs="Times New Roman"/>
          <w:sz w:val="28"/>
          <w:szCs w:val="28"/>
          <w:lang w:val="ru-RU" w:eastAsia="ru-RU" w:bidi="ru-RU"/>
        </w:rPr>
        <w:t xml:space="preserve">з метою визначення </w:t>
      </w:r>
      <w:r w:rsidRPr="00B117D2">
        <w:rPr>
          <w:rFonts w:ascii="Times New Roman" w:hAnsi="Times New Roman" w:cs="Times New Roman"/>
          <w:sz w:val="28"/>
          <w:szCs w:val="28"/>
        </w:rPr>
        <w:t>територіальної конкурентоспроможності.</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Галузеві особливості </w:t>
      </w:r>
      <w:r w:rsidRPr="00B117D2">
        <w:rPr>
          <w:rFonts w:ascii="Times New Roman" w:hAnsi="Times New Roman" w:cs="Times New Roman"/>
          <w:sz w:val="28"/>
          <w:szCs w:val="28"/>
          <w:lang w:val="ru-RU" w:eastAsia="ru-RU" w:bidi="ru-RU"/>
        </w:rPr>
        <w:t xml:space="preserve">формування конкурентного середовища </w:t>
      </w:r>
      <w:r w:rsidRPr="00B117D2">
        <w:rPr>
          <w:rFonts w:ascii="Times New Roman" w:hAnsi="Times New Roman" w:cs="Times New Roman"/>
          <w:sz w:val="28"/>
          <w:szCs w:val="28"/>
        </w:rPr>
        <w:t>харак</w:t>
      </w:r>
      <w:r w:rsidRPr="00B117D2">
        <w:rPr>
          <w:rFonts w:ascii="Times New Roman" w:hAnsi="Times New Roman" w:cs="Times New Roman"/>
          <w:sz w:val="28"/>
          <w:szCs w:val="28"/>
        </w:rPr>
        <w:softHyphen/>
        <w:t>теризуються:</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lang w:val="ru-RU" w:eastAsia="ru-RU" w:bidi="ru-RU"/>
        </w:rPr>
        <w:t xml:space="preserve">- структурною </w:t>
      </w:r>
      <w:r w:rsidRPr="00B117D2">
        <w:rPr>
          <w:rFonts w:ascii="Times New Roman" w:hAnsi="Times New Roman" w:cs="Times New Roman"/>
          <w:sz w:val="28"/>
          <w:szCs w:val="28"/>
        </w:rPr>
        <w:t xml:space="preserve">побудовою галузі </w:t>
      </w:r>
      <w:r w:rsidRPr="00B117D2">
        <w:rPr>
          <w:rFonts w:ascii="Times New Roman" w:hAnsi="Times New Roman" w:cs="Times New Roman"/>
          <w:sz w:val="28"/>
          <w:szCs w:val="28"/>
          <w:lang w:val="ru-RU" w:eastAsia="ru-RU" w:bidi="ru-RU"/>
        </w:rPr>
        <w:t xml:space="preserve">та </w:t>
      </w:r>
      <w:r w:rsidRPr="00B117D2">
        <w:rPr>
          <w:rFonts w:ascii="Times New Roman" w:hAnsi="Times New Roman" w:cs="Times New Roman"/>
          <w:sz w:val="28"/>
          <w:szCs w:val="28"/>
        </w:rPr>
        <w:t>спрямованістю її суб’єктів на задоволення соціально-економічних потреб кінцевих споживачів товарної продукції чи послуг;</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впливом галузі на збалансування процесів територіального ринку (сировинних, товарних, фінансових, трудових, природних, інформаційних);</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станом матеріально-технічної бази, необхідністю модернізації основних виробничих засобів;</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розвитком ринкової інфраструктури галузі та форми власності окремих господарських суб’єктів;</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монополізованою господарського механізму галузі та ступенем державного регулювання;</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необхідністю інвестиційних ресурсів для розвитку галузі відповідно до потреб внутрішньорегіонального ринку та соціально-економічного захисту споживачів.</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Водночас процес формування конкурентного середовища характеризується обмеженням функцій органів державного управління в регулюванні виробництва і розподілу товарної продукції та скерування цих функцій на створення і впровадження законодавчих актів, роздержавлення економічних ресурсів, удосконалення ринкової інфраструктури. Важливою стає підтримуюча діяльність держави за умов формування конкурентного середовища (правове забезпечення ринкової діяльності, збалансований розвиток інфраструктури) та компенсаційна діяльність органів державного управління (проведення антимонопольних заходів, організація соціально- економічного захисту населення).</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Процес формування конкурентного середовища відбувається на макро-, мезо- та мікроекономічному рівнях, що підтверджує цілісність економічної системи, в якій воно розвивається. Динаміка та структура конкурентного середовища на макроекономічному рівні зумовлена: спадковістю попередньої економічної системи; передумовами розвитку того чи іншого ринку на конкретній території; цілями і реалізацією конкурентної політики держави; відкритістю економіки; руйнуванням адміністративних обмежень міжрегіональної міграції товарів; формуванням ефективного власника в процесі приватизації.</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Так, система формування мезорівня конкурентного середовища </w:t>
      </w:r>
      <w:r w:rsidRPr="00B117D2">
        <w:rPr>
          <w:rFonts w:ascii="Times New Roman" w:hAnsi="Times New Roman" w:cs="Times New Roman"/>
          <w:sz w:val="28"/>
          <w:szCs w:val="28"/>
        </w:rPr>
        <w:lastRenderedPageBreak/>
        <w:t>характеризується такими основними конкурентними силами, як:</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загроза появи нових конкурентів (наскільки легко чи важко для нових учасників ринку розпочати конкурентну боротьбу, які існують бар’єри);</w:t>
      </w:r>
    </w:p>
    <w:p w:rsidR="0032518A"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 ринкова влада покупців (наскільки сильна позиція покупців, чи можуть </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 вони разом придбати великі об’єми товарів);</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загроза появи продуктів або послуг аналогів (наскільки просто замінити продукт чи послугу);</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ринкова влада постачальників (наскільки сильна позиція продавців, здатність потенційних постачальників диктувати свої умови);</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конкуренція серед існуючих суб’єктів бізнесу усередині галузі (сили конкуренції виникають у результаті прагнення конкурентів зайняти кращу позицію на ринку й отримати конкурентну перевагу).</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Конкурентне середовище на мікроекономічному рівні визначається такими </w:t>
      </w:r>
      <w:r w:rsidRPr="00B117D2">
        <w:rPr>
          <w:rFonts w:ascii="Times New Roman" w:hAnsi="Times New Roman" w:cs="Times New Roman"/>
          <w:sz w:val="28"/>
          <w:szCs w:val="28"/>
          <w:lang w:val="ru-RU" w:eastAsia="ru-RU" w:bidi="ru-RU"/>
        </w:rPr>
        <w:t xml:space="preserve">параметрами, як: </w:t>
      </w:r>
      <w:r w:rsidRPr="00B117D2">
        <w:rPr>
          <w:rFonts w:ascii="Times New Roman" w:hAnsi="Times New Roman" w:cs="Times New Roman"/>
          <w:sz w:val="28"/>
          <w:szCs w:val="28"/>
        </w:rPr>
        <w:t>представництво конкурентів на ринку (кількість суб’єкта підприємницької діяльності, їх ринкова частка та ринковий потенціал); продуктові межі товарного ринку; географічні межі ринку.</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При цьому чинниками, що підвищують рівень конкурентного середовища на мікроекономічному рівні, є: сприятлива кон’юнктура ринку; низькі бар’єри вступу на окремі ринки; зростання кількості суб’єктів господарювання. До чинників, що погіршують конкурентне середовище для суб’єкта господарювання на окремих ринках, належать: намагання окремих суб’єктів збільшити свою владу на ринку, високий ступінь ризику підприємницької діяльності, загроза банкрутства, непрофесіоналізм менеджерів.</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Система конкурентного середовища передбачає три форми зв’язку об’єктів конкурентоспроможності: прямий односторонній зв’язок, прямий двосторонній зв’язок, опосередкований двосторонній зв’язок. Форма зв’язку визначається інтенсивністю впливу об’єктів конкурентного поля на формування конкурентоспроможності кожного з них та обумовлюється:</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розвитком конкурентного середовища (ступінь впливу прямих і опосередкованих факторів);</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взаємозалежністю факторів (рівень впливу одного фактора на другий);</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невизначеністю конкурентного середовища (недостатність інформаційних ресурсів щодо конкурентного середовища);</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комплексністю конкурентного середовища (кількість факторів, що визначають забезпеченість конкурентоспроможності суб’єкта бізнесу).</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Рівень стійкого взаємозв’язку об’єктів конкурентоспроможності формується під впливом конкурентного середовища і таких факторів:</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lastRenderedPageBreak/>
        <w:t>- поєднання економічних інтересів споживачів та суб’єктів товарної пропозиції з метою забезпечення постійності купівлі-продажу окремого товару;</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збалансування кон’юнктури ринку виробництва, реалізації і споживання, що забезпечує постійність попиту та пропозиції окремого товару;</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удосконалення асортиментної, цінової структури реалізації відповідно до динаміки економічних та соціальних інтересів споживачів.</w:t>
      </w:r>
    </w:p>
    <w:p w:rsidR="0032518A"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Зауважимо, система розвитку конкурентного середовища передбачає циклічність економічних процесів у суб’єктів конкурентного поля та економічну боротьбу за його структурні елементи, що в торговельній діяльності відображається зростанням чисельності обслуговуваних споживачів, обсягу реалізації, фінансових результатів. </w:t>
      </w:r>
    </w:p>
    <w:p w:rsidR="0032518A" w:rsidRPr="00B117D2" w:rsidRDefault="0032518A" w:rsidP="00B117D2">
      <w:pPr>
        <w:tabs>
          <w:tab w:val="left" w:pos="1374"/>
        </w:tabs>
        <w:spacing w:line="288" w:lineRule="auto"/>
        <w:ind w:firstLine="709"/>
        <w:jc w:val="both"/>
        <w:rPr>
          <w:rFonts w:ascii="Times New Roman" w:hAnsi="Times New Roman" w:cs="Times New Roman"/>
          <w:sz w:val="28"/>
          <w:szCs w:val="28"/>
          <w:lang w:val="en-US"/>
        </w:rPr>
      </w:pPr>
      <w:r w:rsidRPr="00B117D2">
        <w:rPr>
          <w:rFonts w:ascii="Times New Roman" w:hAnsi="Times New Roman" w:cs="Times New Roman"/>
          <w:sz w:val="28"/>
          <w:szCs w:val="28"/>
        </w:rPr>
        <w:t xml:space="preserve"> </w:t>
      </w:r>
    </w:p>
    <w:p w:rsidR="00B117D2" w:rsidRPr="00B117D2" w:rsidRDefault="0032518A" w:rsidP="00B117D2">
      <w:pPr>
        <w:tabs>
          <w:tab w:val="left" w:pos="1374"/>
        </w:tabs>
        <w:spacing w:line="288" w:lineRule="auto"/>
        <w:ind w:firstLine="709"/>
        <w:jc w:val="both"/>
        <w:rPr>
          <w:rFonts w:ascii="Times New Roman" w:hAnsi="Times New Roman" w:cs="Times New Roman"/>
          <w:b/>
          <w:sz w:val="28"/>
          <w:szCs w:val="28"/>
        </w:rPr>
      </w:pPr>
      <w:r w:rsidRPr="00B117D2">
        <w:rPr>
          <w:rFonts w:ascii="Times New Roman" w:hAnsi="Times New Roman" w:cs="Times New Roman"/>
          <w:b/>
          <w:sz w:val="28"/>
          <w:szCs w:val="28"/>
          <w:lang w:val="ru-RU" w:eastAsia="ru-RU" w:bidi="ru-RU"/>
        </w:rPr>
        <w:t xml:space="preserve">2. Методика </w:t>
      </w:r>
      <w:r w:rsidRPr="00B117D2">
        <w:rPr>
          <w:rFonts w:ascii="Times New Roman" w:hAnsi="Times New Roman" w:cs="Times New Roman"/>
          <w:b/>
          <w:sz w:val="28"/>
          <w:szCs w:val="28"/>
        </w:rPr>
        <w:t xml:space="preserve">діагностики </w:t>
      </w:r>
      <w:r w:rsidRPr="00B117D2">
        <w:rPr>
          <w:rFonts w:ascii="Times New Roman" w:hAnsi="Times New Roman" w:cs="Times New Roman"/>
          <w:b/>
          <w:sz w:val="28"/>
          <w:szCs w:val="28"/>
          <w:lang w:val="ru-RU" w:eastAsia="ru-RU" w:bidi="ru-RU"/>
        </w:rPr>
        <w:t xml:space="preserve">конкурентного </w:t>
      </w:r>
      <w:r w:rsidRPr="00B117D2">
        <w:rPr>
          <w:rFonts w:ascii="Times New Roman" w:hAnsi="Times New Roman" w:cs="Times New Roman"/>
          <w:b/>
          <w:sz w:val="28"/>
          <w:szCs w:val="28"/>
        </w:rPr>
        <w:t>середовища суб’єкта</w:t>
      </w:r>
      <w:r w:rsidR="00B117D2" w:rsidRPr="00B117D2">
        <w:rPr>
          <w:rFonts w:ascii="Times New Roman" w:hAnsi="Times New Roman" w:cs="Times New Roman"/>
          <w:b/>
          <w:sz w:val="28"/>
          <w:szCs w:val="28"/>
        </w:rPr>
        <w:t xml:space="preserve"> </w:t>
      </w:r>
      <w:r w:rsidRPr="00B117D2">
        <w:rPr>
          <w:rFonts w:ascii="Times New Roman" w:hAnsi="Times New Roman" w:cs="Times New Roman"/>
          <w:b/>
          <w:sz w:val="28"/>
          <w:szCs w:val="28"/>
        </w:rPr>
        <w:t xml:space="preserve">підприємницької діяльності </w:t>
      </w:r>
    </w:p>
    <w:p w:rsidR="00B5351D" w:rsidRPr="00B117D2" w:rsidRDefault="0032518A" w:rsidP="00B117D2">
      <w:pPr>
        <w:tabs>
          <w:tab w:val="left" w:pos="1374"/>
        </w:tabs>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Діагностика конкурентного середовища - це спосіб оцінювання рівня конкурентоспроможності суб’єкта підприємницької діяльності з урахуванням дії зовнішніх і внутрішніх чинників, що базується на динаміці результуючих показників діяльності.</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Результатом діагностики конкурентного середовища є визначення поточного та перспективного станів цього середовища. На основі встановленого діагнозу маркетолог розробляє маркетингові </w:t>
      </w:r>
      <w:r w:rsidRPr="00B117D2">
        <w:rPr>
          <w:rFonts w:ascii="Times New Roman" w:hAnsi="Times New Roman" w:cs="Times New Roman"/>
          <w:sz w:val="28"/>
          <w:szCs w:val="28"/>
          <w:lang w:val="ru-RU" w:eastAsia="ru-RU" w:bidi="ru-RU"/>
        </w:rPr>
        <w:t xml:space="preserve">заходи </w:t>
      </w:r>
      <w:r w:rsidRPr="00B117D2">
        <w:rPr>
          <w:rFonts w:ascii="Times New Roman" w:hAnsi="Times New Roman" w:cs="Times New Roman"/>
          <w:sz w:val="28"/>
          <w:szCs w:val="28"/>
        </w:rPr>
        <w:t>для поліпшення або посилення потенціалу конкурентної переваги суб’єкта підприємницької діяльності.</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Виявлення причин відхилень у стані конкурентного середовища здійснюється за допомогою різних форм діагностики (табл. 2).</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Таблиця 2</w:t>
      </w:r>
      <w:r w:rsidR="00B117D2">
        <w:rPr>
          <w:rFonts w:ascii="Times New Roman" w:hAnsi="Times New Roman" w:cs="Times New Roman"/>
          <w:sz w:val="28"/>
          <w:szCs w:val="28"/>
        </w:rPr>
        <w:t xml:space="preserve"> </w:t>
      </w:r>
      <w:r w:rsidRPr="00B117D2">
        <w:rPr>
          <w:rFonts w:ascii="Times New Roman" w:hAnsi="Times New Roman" w:cs="Times New Roman"/>
          <w:sz w:val="28"/>
          <w:szCs w:val="28"/>
        </w:rPr>
        <w:t xml:space="preserve">Форми діагностики конкурентного середовища суб’єкта підприємницької   діяльності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670"/>
        <w:gridCol w:w="8194"/>
      </w:tblGrid>
      <w:tr w:rsidR="00B5351D" w:rsidRPr="00102A2E" w:rsidTr="00B117D2">
        <w:trPr>
          <w:trHeight w:val="566"/>
        </w:trPr>
        <w:tc>
          <w:tcPr>
            <w:tcW w:w="1670" w:type="dxa"/>
            <w:shd w:val="clear" w:color="auto" w:fill="FFFFFF"/>
          </w:tcPr>
          <w:p w:rsidR="00B5351D" w:rsidRPr="00102A2E" w:rsidRDefault="0032518A" w:rsidP="00B117D2">
            <w:pPr>
              <w:jc w:val="both"/>
              <w:rPr>
                <w:rFonts w:ascii="Times New Roman" w:hAnsi="Times New Roman" w:cs="Times New Roman"/>
              </w:rPr>
            </w:pPr>
            <w:r w:rsidRPr="00102A2E">
              <w:rPr>
                <w:rFonts w:ascii="Times New Roman" w:hAnsi="Times New Roman" w:cs="Times New Roman"/>
              </w:rPr>
              <w:t>Форми</w:t>
            </w:r>
            <w:r w:rsidR="00B117D2">
              <w:rPr>
                <w:rFonts w:ascii="Times New Roman" w:hAnsi="Times New Roman" w:cs="Times New Roman"/>
              </w:rPr>
              <w:t xml:space="preserve"> </w:t>
            </w:r>
            <w:r w:rsidRPr="00102A2E">
              <w:rPr>
                <w:rFonts w:ascii="Times New Roman" w:hAnsi="Times New Roman" w:cs="Times New Roman"/>
              </w:rPr>
              <w:t>діагностики</w:t>
            </w:r>
          </w:p>
        </w:tc>
        <w:tc>
          <w:tcPr>
            <w:tcW w:w="8194" w:type="dxa"/>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Характеристика форм</w:t>
            </w:r>
          </w:p>
        </w:tc>
      </w:tr>
      <w:tr w:rsidR="00B5351D" w:rsidRPr="00102A2E" w:rsidTr="00B117D2">
        <w:trPr>
          <w:trHeight w:val="1449"/>
        </w:trPr>
        <w:tc>
          <w:tcPr>
            <w:tcW w:w="1670" w:type="dxa"/>
            <w:shd w:val="clear" w:color="auto" w:fill="FFFFFF"/>
          </w:tcPr>
          <w:p w:rsidR="00B5351D" w:rsidRPr="00102A2E" w:rsidRDefault="0032518A" w:rsidP="00B117D2">
            <w:pPr>
              <w:jc w:val="both"/>
              <w:rPr>
                <w:rFonts w:ascii="Times New Roman" w:hAnsi="Times New Roman" w:cs="Times New Roman"/>
              </w:rPr>
            </w:pPr>
            <w:r w:rsidRPr="00102A2E">
              <w:rPr>
                <w:rFonts w:ascii="Times New Roman" w:hAnsi="Times New Roman" w:cs="Times New Roman"/>
              </w:rPr>
              <w:t>Аналітична</w:t>
            </w:r>
            <w:r w:rsidR="00B117D2">
              <w:rPr>
                <w:rFonts w:ascii="Times New Roman" w:hAnsi="Times New Roman" w:cs="Times New Roman"/>
              </w:rPr>
              <w:t xml:space="preserve"> </w:t>
            </w:r>
            <w:r w:rsidRPr="00102A2E">
              <w:rPr>
                <w:rFonts w:ascii="Times New Roman" w:hAnsi="Times New Roman" w:cs="Times New Roman"/>
              </w:rPr>
              <w:t>діагностика</w:t>
            </w:r>
          </w:p>
        </w:tc>
        <w:tc>
          <w:tcPr>
            <w:tcW w:w="8194" w:type="dxa"/>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Процес встановлення конкурентного стану суб’єкта підприємницької діяльності завдяки маркетинговій та статистичній інформації, отриманій безконтактним методом. У процесі використання комплексного економічного аналізу на рівні об’єктивного уявлення змальовується конкурентна ситуація у середовищі функціонування суб’єктів підприємницької діяльності та узагальнюються ризики і загрози їх конкурентному статусу</w:t>
            </w:r>
          </w:p>
        </w:tc>
      </w:tr>
      <w:tr w:rsidR="00B5351D" w:rsidRPr="00102A2E" w:rsidTr="00B117D2">
        <w:trPr>
          <w:trHeight w:val="1666"/>
        </w:trPr>
        <w:tc>
          <w:tcPr>
            <w:tcW w:w="1670" w:type="dxa"/>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Експертна</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діагностика</w:t>
            </w:r>
          </w:p>
        </w:tc>
        <w:tc>
          <w:tcPr>
            <w:tcW w:w="8194" w:type="dxa"/>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Цілісне уявлення про рівень конкуренції, яке базується на інформації, отриманій контактними методами за допомогою проведення спеціальних експертних оцінювань і опитувань. Множина експертних припущень є зручним інструментом системного підходу до вирішення складних багатокритеріальних проблем формування умов стійкої і динамічної конкурентоспроможності суб’єктів підприємницької діяльності</w:t>
            </w:r>
          </w:p>
        </w:tc>
      </w:tr>
      <w:tr w:rsidR="00B5351D" w:rsidRPr="00102A2E" w:rsidTr="00B117D2">
        <w:trPr>
          <w:trHeight w:val="1675"/>
        </w:trPr>
        <w:tc>
          <w:tcPr>
            <w:tcW w:w="1670" w:type="dxa"/>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lastRenderedPageBreak/>
              <w:t>Імітаційна</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(модельна)</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діагностика</w:t>
            </w:r>
          </w:p>
        </w:tc>
        <w:tc>
          <w:tcPr>
            <w:tcW w:w="8194" w:type="dxa"/>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Принципово новий спосіб порівняння можливостей суб’єктів підприємницької діяльності у конкурентному середовищі та обґрунтування концепції їх подальшого стратегічного позиціювання. Про це свідчать шляхи імітаційного моделювання, які на інших інформаційних технологій дозволяють обрати альтернативний варіант забезпечення конкурентоспроможності суб’єкта підприємницької діяльності</w:t>
            </w:r>
          </w:p>
        </w:tc>
      </w:tr>
    </w:tbl>
    <w:p w:rsidR="00102A2E" w:rsidRDefault="00102A2E" w:rsidP="00102A2E">
      <w:pPr>
        <w:ind w:firstLine="360"/>
        <w:jc w:val="both"/>
        <w:rPr>
          <w:rFonts w:ascii="Times New Roman" w:hAnsi="Times New Roman" w:cs="Times New Roman"/>
        </w:rPr>
      </w:pP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Загалом організація і проведення діагностики конкурентного середовища здійснюються на основі маркетингових досліджень. Визначення діагнозу конкурентного середовища повинно базуватися на порівнянні. Результати діагностики необхідні для формування маркетингової інформації і розробки конкурентної політики суб’єкта підприємницької діяльності.</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Діагностика як процес виявлення сильних і слабких сторін суб’єкта підприємницької діяльності та його конкурентів дає можливість більш ефективно планувати і використовувати свої сили і ресурси.</w:t>
      </w:r>
    </w:p>
    <w:p w:rsidR="0032518A"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Діагностика конкурентного середовища суб’єкта підприємницької діяльності передбачає певну послідовність і охоплює низку етапів (табл. 3). </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Таблиця 3</w:t>
      </w:r>
      <w:r w:rsidR="00B117D2">
        <w:rPr>
          <w:rFonts w:ascii="Times New Roman" w:hAnsi="Times New Roman" w:cs="Times New Roman"/>
          <w:sz w:val="28"/>
          <w:szCs w:val="28"/>
        </w:rPr>
        <w:t xml:space="preserve"> </w:t>
      </w:r>
      <w:r w:rsidRPr="00B117D2">
        <w:rPr>
          <w:rFonts w:ascii="Times New Roman" w:hAnsi="Times New Roman" w:cs="Times New Roman"/>
          <w:sz w:val="28"/>
          <w:szCs w:val="28"/>
        </w:rPr>
        <w:t>Етапи діагностики конкурентного середовища суб’єкта підприємницької</w:t>
      </w:r>
      <w:r w:rsidR="00B117D2">
        <w:rPr>
          <w:rFonts w:ascii="Times New Roman" w:hAnsi="Times New Roman" w:cs="Times New Roman"/>
          <w:sz w:val="28"/>
          <w:szCs w:val="28"/>
        </w:rPr>
        <w:t xml:space="preserve"> </w:t>
      </w:r>
      <w:r w:rsidRPr="00B117D2">
        <w:rPr>
          <w:rFonts w:ascii="Times New Roman" w:hAnsi="Times New Roman" w:cs="Times New Roman"/>
          <w:sz w:val="28"/>
          <w:szCs w:val="28"/>
        </w:rPr>
        <w:t xml:space="preserve">діяльності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421"/>
        <w:gridCol w:w="7453"/>
      </w:tblGrid>
      <w:tr w:rsidR="00B5351D" w:rsidRPr="00102A2E" w:rsidTr="00B117D2">
        <w:trPr>
          <w:trHeight w:val="293"/>
        </w:trPr>
        <w:tc>
          <w:tcPr>
            <w:tcW w:w="2421"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Етапи діагностики</w:t>
            </w:r>
          </w:p>
        </w:tc>
        <w:tc>
          <w:tcPr>
            <w:tcW w:w="7453"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Характеристика етапів</w:t>
            </w:r>
          </w:p>
        </w:tc>
      </w:tr>
      <w:tr w:rsidR="00B5351D" w:rsidRPr="00102A2E" w:rsidTr="00B117D2">
        <w:trPr>
          <w:trHeight w:val="3322"/>
        </w:trPr>
        <w:tc>
          <w:tcPr>
            <w:tcW w:w="2421" w:type="dxa"/>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Виявлення переліку суб’єктів підприємницької діяльності, що перебувають на цільовому або новому ринках</w:t>
            </w:r>
          </w:p>
        </w:tc>
        <w:tc>
          <w:tcPr>
            <w:tcW w:w="7453"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 xml:space="preserve">Досліджуються тільки безпосередні конкуренти, які виробляють аналогічну продукцію, обсяги реалізації яких у </w:t>
            </w:r>
            <w:r w:rsidRPr="00102A2E">
              <w:rPr>
                <w:rFonts w:ascii="Times New Roman" w:hAnsi="Times New Roman" w:cs="Times New Roman"/>
                <w:lang w:val="ru-RU" w:eastAsia="ru-RU" w:bidi="ru-RU"/>
              </w:rPr>
              <w:t xml:space="preserve">натуральному </w:t>
            </w:r>
            <w:r w:rsidRPr="00102A2E">
              <w:rPr>
                <w:rFonts w:ascii="Times New Roman" w:hAnsi="Times New Roman" w:cs="Times New Roman"/>
              </w:rPr>
              <w:t>та вартісному виразах найбільш близькі до відповідних показників суб’єктів підприємницької діяльності, що досліджуються. Діагностика може відбуватися на основі вибору ринкових лідерів, які визначають характер конкурентної боротьби та володіють незаперечними конкурентними перевагами, або орієнтації на суб’єкта підприємницької діяльності, які володіють значною часткою на ринку. Вивчення таких конкурентів дозволяє вдоскона</w:t>
            </w:r>
            <w:r w:rsidRPr="00102A2E">
              <w:rPr>
                <w:rFonts w:ascii="Times New Roman" w:hAnsi="Times New Roman" w:cs="Times New Roman"/>
              </w:rPr>
              <w:softHyphen/>
              <w:t>лювати власну модель бізнесу, розробляти більш ефективні конкурентні стратегії, формувати широкий спектр заходів як наступального, так і оборонного характеру.</w:t>
            </w:r>
          </w:p>
        </w:tc>
      </w:tr>
      <w:tr w:rsidR="00B5351D" w:rsidRPr="00102A2E" w:rsidTr="00B117D2">
        <w:trPr>
          <w:trHeight w:val="1387"/>
        </w:trPr>
        <w:tc>
          <w:tcPr>
            <w:tcW w:w="2421"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Збір вихідної інфор</w:t>
            </w:r>
            <w:r w:rsidRPr="00102A2E">
              <w:rPr>
                <w:rFonts w:ascii="Times New Roman" w:hAnsi="Times New Roman" w:cs="Times New Roman"/>
              </w:rPr>
              <w:softHyphen/>
              <w:t>мації та зведення економічних показників до зіставного вигляду</w:t>
            </w:r>
          </w:p>
        </w:tc>
        <w:tc>
          <w:tcPr>
            <w:tcW w:w="7453"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Джерелами інформації про конкуренцію є: звітність суб’єктів бізнесу-конкурентів; всебічне вивчення придбаного товару; відвідування виставок-ярмарків; бесіди із працівниками та постачальниками; аналіз реклами; засоби масової інформації; дані найнятих спеціалізованих суб’єктів.</w:t>
            </w:r>
          </w:p>
        </w:tc>
      </w:tr>
      <w:tr w:rsidR="00B5351D" w:rsidRPr="00102A2E" w:rsidTr="00B117D2">
        <w:trPr>
          <w:trHeight w:val="1114"/>
        </w:trPr>
        <w:tc>
          <w:tcPr>
            <w:tcW w:w="2421"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Визначення типу ринку та оцінювання конкурентних сил його суб’єктів</w:t>
            </w:r>
          </w:p>
        </w:tc>
        <w:tc>
          <w:tcPr>
            <w:tcW w:w="7453" w:type="dxa"/>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Характеристика конкурентних сил та визначення типу ринку, що здійснюється експертним шляхом на основі моделі п’яти сил М. Портера.</w:t>
            </w:r>
          </w:p>
        </w:tc>
      </w:tr>
      <w:tr w:rsidR="00B5351D" w:rsidRPr="00102A2E" w:rsidTr="00B117D2">
        <w:trPr>
          <w:trHeight w:val="1944"/>
        </w:trPr>
        <w:tc>
          <w:tcPr>
            <w:tcW w:w="2421" w:type="dxa"/>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lastRenderedPageBreak/>
              <w:t xml:space="preserve">Оцінювання інтенсивності конкуренції та ступеня монополізації </w:t>
            </w:r>
            <w:r w:rsidRPr="00102A2E">
              <w:rPr>
                <w:rFonts w:ascii="Times New Roman" w:hAnsi="Times New Roman" w:cs="Times New Roman"/>
                <w:lang w:val="ru-RU" w:eastAsia="ru-RU" w:bidi="ru-RU"/>
              </w:rPr>
              <w:t>ринку</w:t>
            </w:r>
          </w:p>
        </w:tc>
        <w:tc>
          <w:tcPr>
            <w:tcW w:w="7453"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Інтенсивність конкуренції розраховується на основі оцінки часток ринку суб’єктів бізнесу-конкурентів, з врахуванням рентабельності ринку, залежно від темпу зростання місткості ринку. Оцінювання рівня монополізації ринку здійснюється за допомогою коефіцієнта концентрації, коефіцієнтів Розенблюта, Герфіндаля-Гіршмана. При цьому ступінь монополізації ринку є обернено пропорційним щодо рівня інтенсивності конкуренції.</w:t>
            </w:r>
          </w:p>
        </w:tc>
      </w:tr>
      <w:tr w:rsidR="00B5351D" w:rsidRPr="00102A2E" w:rsidTr="00B117D2">
        <w:trPr>
          <w:trHeight w:val="1873"/>
        </w:trPr>
        <w:tc>
          <w:tcPr>
            <w:tcW w:w="2421" w:type="dxa"/>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Аналіз конкурентних позицій суб’єкта підприємницької діяльності на ринку</w:t>
            </w:r>
          </w:p>
        </w:tc>
        <w:tc>
          <w:tcPr>
            <w:tcW w:w="7453"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Відповідно до цього етапу діагностики здійснюється:</w:t>
            </w:r>
          </w:p>
          <w:p w:rsidR="00B5351D" w:rsidRPr="00102A2E" w:rsidRDefault="0032518A" w:rsidP="00102A2E">
            <w:pPr>
              <w:tabs>
                <w:tab w:val="left" w:pos="240"/>
              </w:tabs>
              <w:jc w:val="both"/>
              <w:rPr>
                <w:rFonts w:ascii="Times New Roman" w:hAnsi="Times New Roman" w:cs="Times New Roman"/>
              </w:rPr>
            </w:pPr>
            <w:r w:rsidRPr="00102A2E">
              <w:rPr>
                <w:rFonts w:ascii="Times New Roman" w:hAnsi="Times New Roman" w:cs="Times New Roman"/>
              </w:rPr>
              <w:t>- визначення ринкових часток суб’єктів підприємницької діяльності на кінець базового й аналізованого періодів;</w:t>
            </w:r>
          </w:p>
          <w:p w:rsidR="00B5351D" w:rsidRPr="00102A2E" w:rsidRDefault="0032518A" w:rsidP="00102A2E">
            <w:pPr>
              <w:tabs>
                <w:tab w:val="left" w:pos="240"/>
              </w:tabs>
              <w:jc w:val="both"/>
              <w:rPr>
                <w:rFonts w:ascii="Times New Roman" w:hAnsi="Times New Roman" w:cs="Times New Roman"/>
              </w:rPr>
            </w:pPr>
            <w:r w:rsidRPr="00102A2E">
              <w:rPr>
                <w:rFonts w:ascii="Times New Roman" w:hAnsi="Times New Roman" w:cs="Times New Roman"/>
              </w:rPr>
              <w:t>- формування груп суб’єктів підприємницької діяльності, що перебувають на ринку, і розрахунок середньої ринкової частки, що припадає на групу;</w:t>
            </w:r>
          </w:p>
          <w:p w:rsidR="00B5351D" w:rsidRPr="00102A2E" w:rsidRDefault="0032518A" w:rsidP="00102A2E">
            <w:pPr>
              <w:tabs>
                <w:tab w:val="left" w:pos="235"/>
              </w:tabs>
              <w:jc w:val="both"/>
              <w:rPr>
                <w:rFonts w:ascii="Times New Roman" w:hAnsi="Times New Roman" w:cs="Times New Roman"/>
              </w:rPr>
            </w:pPr>
            <w:r w:rsidRPr="00102A2E">
              <w:rPr>
                <w:rFonts w:ascii="Times New Roman" w:hAnsi="Times New Roman" w:cs="Times New Roman"/>
              </w:rPr>
              <w:t>- розрахунок темпу приросту ринкової частки кожної групи суб’єктів підприємницької діяльності;</w:t>
            </w:r>
          </w:p>
          <w:p w:rsidR="00B5351D" w:rsidRPr="00102A2E" w:rsidRDefault="0032518A" w:rsidP="00102A2E">
            <w:pPr>
              <w:tabs>
                <w:tab w:val="left" w:pos="240"/>
              </w:tabs>
              <w:jc w:val="both"/>
              <w:rPr>
                <w:rFonts w:ascii="Times New Roman" w:hAnsi="Times New Roman" w:cs="Times New Roman"/>
              </w:rPr>
            </w:pPr>
            <w:r w:rsidRPr="00102A2E">
              <w:rPr>
                <w:rFonts w:ascii="Times New Roman" w:hAnsi="Times New Roman" w:cs="Times New Roman"/>
              </w:rPr>
              <w:t>- факторний аналіз динаміки ринкових часток суб’єктів- конкурентів.</w:t>
            </w:r>
          </w:p>
        </w:tc>
      </w:tr>
      <w:tr w:rsidR="00B5351D" w:rsidRPr="00102A2E" w:rsidTr="00B117D2">
        <w:trPr>
          <w:trHeight w:val="2506"/>
        </w:trPr>
        <w:tc>
          <w:tcPr>
            <w:tcW w:w="2421" w:type="dxa"/>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Побудова конкурентної карти ринку, виявлення стратегічних положень суб’єктів підприємницької діяльності</w:t>
            </w:r>
          </w:p>
        </w:tc>
        <w:tc>
          <w:tcPr>
            <w:tcW w:w="7453" w:type="dxa"/>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Побудова конкурентної карти допомагає класифікувати конкурентів, виявити основні тенденції зміни їх позицій на ринку. Конкурентна карта ринку - це матриця 4*4, що базується на використанні перехресної класифікації розміру та динаміки ринкових часток суб’єктів підприємницької діяльності. Конкурентна карта дозволяє виокремити типових положень суб’єктів підприємницької діяльності, що розрізняються за ступенем використання конкурентних переваг та потенційною можливістю брати участь у конкурентній боротьбі.</w:t>
            </w:r>
          </w:p>
        </w:tc>
      </w:tr>
    </w:tbl>
    <w:p w:rsidR="0032518A" w:rsidRPr="00B117D2" w:rsidRDefault="0032518A" w:rsidP="00B117D2">
      <w:pPr>
        <w:spacing w:line="300" w:lineRule="auto"/>
        <w:ind w:firstLine="709"/>
        <w:jc w:val="both"/>
        <w:rPr>
          <w:rFonts w:ascii="Times New Roman" w:hAnsi="Times New Roman" w:cs="Times New Roman"/>
          <w:sz w:val="28"/>
          <w:szCs w:val="28"/>
          <w:lang w:val="en-US"/>
        </w:rPr>
      </w:pPr>
    </w:p>
    <w:p w:rsidR="00B5351D" w:rsidRPr="00B117D2" w:rsidRDefault="0032518A" w:rsidP="00B117D2">
      <w:pPr>
        <w:spacing w:line="300"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Загалом, діагностика конкурентного середовища суб’єкта підприємницької діяльності дозволяє вирішити низку взаємопов’язаних завдань:</w:t>
      </w:r>
    </w:p>
    <w:p w:rsidR="00B5351D" w:rsidRPr="00B117D2" w:rsidRDefault="0032518A" w:rsidP="00B117D2">
      <w:pPr>
        <w:spacing w:line="300"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визначити особливості розвитку конкурентної ситуації;</w:t>
      </w:r>
    </w:p>
    <w:p w:rsidR="00B5351D" w:rsidRPr="00B117D2" w:rsidRDefault="0032518A" w:rsidP="00B117D2">
      <w:pPr>
        <w:spacing w:line="300"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встановити ступінь домінування суб’єктів бізнесу на ринку;</w:t>
      </w:r>
    </w:p>
    <w:p w:rsidR="00B5351D" w:rsidRPr="00B117D2" w:rsidRDefault="0032518A" w:rsidP="00B117D2">
      <w:pPr>
        <w:spacing w:line="300"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виокремити найближчих конкурентів і встановити відносну позицію суб’єкта підприємницької діяльності серед учасників ринку;</w:t>
      </w:r>
    </w:p>
    <w:p w:rsidR="00B5351D" w:rsidRPr="00B117D2" w:rsidRDefault="0032518A" w:rsidP="00B117D2">
      <w:pPr>
        <w:spacing w:line="300"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використовувати отриману інформацію для формування досьє конкурентів.</w:t>
      </w:r>
    </w:p>
    <w:p w:rsidR="00B5351D" w:rsidRPr="00B117D2" w:rsidRDefault="0032518A" w:rsidP="00B117D2">
      <w:pPr>
        <w:spacing w:line="300"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Це дозволить більш обґрунтовано підійти до питань розробки стратегії конкуренції, що враховує конкурентний статус суб’єкта підприємницької діяльності і особливості його ринкового оточення.</w:t>
      </w:r>
    </w:p>
    <w:p w:rsidR="0032518A" w:rsidRPr="00B117D2" w:rsidRDefault="0032518A" w:rsidP="00B117D2">
      <w:pPr>
        <w:tabs>
          <w:tab w:val="left" w:pos="1594"/>
        </w:tabs>
        <w:spacing w:line="300" w:lineRule="auto"/>
        <w:ind w:firstLine="709"/>
        <w:jc w:val="both"/>
        <w:outlineLvl w:val="4"/>
        <w:rPr>
          <w:rFonts w:ascii="Times New Roman" w:hAnsi="Times New Roman" w:cs="Times New Roman"/>
          <w:sz w:val="28"/>
          <w:szCs w:val="28"/>
          <w:lang w:val="en-US"/>
        </w:rPr>
      </w:pPr>
      <w:bookmarkStart w:id="0" w:name="bookmark48"/>
    </w:p>
    <w:p w:rsidR="00B5351D" w:rsidRPr="00B117D2" w:rsidRDefault="0032518A" w:rsidP="00B117D2">
      <w:pPr>
        <w:tabs>
          <w:tab w:val="left" w:pos="1594"/>
        </w:tabs>
        <w:spacing w:line="300" w:lineRule="auto"/>
        <w:ind w:firstLine="709"/>
        <w:jc w:val="both"/>
        <w:outlineLvl w:val="4"/>
        <w:rPr>
          <w:rFonts w:ascii="Times New Roman" w:hAnsi="Times New Roman" w:cs="Times New Roman"/>
          <w:b/>
          <w:sz w:val="28"/>
          <w:szCs w:val="28"/>
        </w:rPr>
      </w:pPr>
      <w:r w:rsidRPr="00B117D2">
        <w:rPr>
          <w:rFonts w:ascii="Times New Roman" w:hAnsi="Times New Roman" w:cs="Times New Roman"/>
          <w:b/>
          <w:sz w:val="28"/>
          <w:szCs w:val="28"/>
        </w:rPr>
        <w:t>3. Оцінювання конкурентних сил та визначення типу ринку</w:t>
      </w:r>
      <w:bookmarkEnd w:id="0"/>
    </w:p>
    <w:p w:rsidR="00B5351D" w:rsidRPr="00B117D2" w:rsidRDefault="0032518A" w:rsidP="00B117D2">
      <w:pPr>
        <w:spacing w:line="300"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Характеристика конкурентних сил та визначення типу ринку є одним із етапів діагностики конкурентного середовища та здійснюється експертним шляхом на основі моделі п’яти </w:t>
      </w:r>
      <w:r w:rsidRPr="00B117D2">
        <w:rPr>
          <w:rFonts w:ascii="Times New Roman" w:hAnsi="Times New Roman" w:cs="Times New Roman"/>
          <w:sz w:val="28"/>
          <w:szCs w:val="28"/>
          <w:lang w:val="ru-RU" w:eastAsia="ru-RU" w:bidi="ru-RU"/>
        </w:rPr>
        <w:t xml:space="preserve">сил М. Портера (табл. </w:t>
      </w:r>
      <w:r w:rsidRPr="00B117D2">
        <w:rPr>
          <w:rFonts w:ascii="Times New Roman" w:hAnsi="Times New Roman" w:cs="Times New Roman"/>
          <w:sz w:val="28"/>
          <w:szCs w:val="28"/>
        </w:rPr>
        <w:t>4).</w:t>
      </w:r>
    </w:p>
    <w:p w:rsidR="00B5351D" w:rsidRPr="00B117D2" w:rsidRDefault="0032518A" w:rsidP="00B117D2">
      <w:pPr>
        <w:spacing w:line="300"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Таблиця 4</w:t>
      </w:r>
      <w:r w:rsidR="00B117D2">
        <w:rPr>
          <w:rFonts w:ascii="Times New Roman" w:hAnsi="Times New Roman" w:cs="Times New Roman"/>
          <w:sz w:val="28"/>
          <w:szCs w:val="28"/>
        </w:rPr>
        <w:t xml:space="preserve"> </w:t>
      </w:r>
      <w:r w:rsidRPr="00B117D2">
        <w:rPr>
          <w:rFonts w:ascii="Times New Roman" w:hAnsi="Times New Roman" w:cs="Times New Roman"/>
          <w:sz w:val="28"/>
          <w:szCs w:val="28"/>
        </w:rPr>
        <w:t xml:space="preserve">Модель п’яти конкурентних </w:t>
      </w:r>
      <w:r w:rsidRPr="00B117D2">
        <w:rPr>
          <w:rFonts w:ascii="Times New Roman" w:hAnsi="Times New Roman" w:cs="Times New Roman"/>
          <w:sz w:val="28"/>
          <w:szCs w:val="28"/>
          <w:lang w:val="ru-RU" w:eastAsia="ru-RU" w:bidi="ru-RU"/>
        </w:rPr>
        <w:t xml:space="preserve">сил М. Портера </w:t>
      </w:r>
      <w:r w:rsidRPr="00B117D2">
        <w:rPr>
          <w:rFonts w:ascii="Times New Roman" w:hAnsi="Times New Roman" w:cs="Times New Roman"/>
          <w:sz w:val="28"/>
          <w:szCs w:val="28"/>
        </w:rPr>
        <w:t>при оцінюванні</w:t>
      </w:r>
      <w:r w:rsidR="00B117D2">
        <w:rPr>
          <w:rFonts w:ascii="Times New Roman" w:hAnsi="Times New Roman" w:cs="Times New Roman"/>
          <w:sz w:val="28"/>
          <w:szCs w:val="28"/>
        </w:rPr>
        <w:t xml:space="preserve"> </w:t>
      </w:r>
      <w:r w:rsidRPr="00B117D2">
        <w:rPr>
          <w:rFonts w:ascii="Times New Roman" w:hAnsi="Times New Roman" w:cs="Times New Roman"/>
          <w:sz w:val="28"/>
          <w:szCs w:val="28"/>
        </w:rPr>
        <w:t>конкурентного середовища суб’єкта підприємницької діяльності</w:t>
      </w:r>
    </w:p>
    <w:tbl>
      <w:tblPr>
        <w:tblOverlap w:val="never"/>
        <w:tblW w:w="0" w:type="auto"/>
        <w:tblLayout w:type="fixed"/>
        <w:tblCellMar>
          <w:left w:w="10" w:type="dxa"/>
          <w:right w:w="10" w:type="dxa"/>
        </w:tblCellMar>
        <w:tblLook w:val="04A0"/>
      </w:tblPr>
      <w:tblGrid>
        <w:gridCol w:w="1675"/>
        <w:gridCol w:w="1838"/>
        <w:gridCol w:w="15"/>
        <w:gridCol w:w="4665"/>
        <w:gridCol w:w="25"/>
        <w:gridCol w:w="527"/>
        <w:gridCol w:w="25"/>
        <w:gridCol w:w="527"/>
        <w:gridCol w:w="39"/>
        <w:gridCol w:w="527"/>
        <w:gridCol w:w="11"/>
      </w:tblGrid>
      <w:tr w:rsidR="00B5351D" w:rsidRPr="00B117D2">
        <w:trPr>
          <w:gridAfter w:val="1"/>
          <w:wAfter w:w="6" w:type="dxa"/>
          <w:trHeight w:val="614"/>
        </w:trPr>
        <w:tc>
          <w:tcPr>
            <w:tcW w:w="1675" w:type="dxa"/>
            <w:vMerge w:val="restart"/>
            <w:tcBorders>
              <w:top w:val="single" w:sz="4" w:space="0" w:color="auto"/>
              <w:left w:val="single" w:sz="4" w:space="0" w:color="auto"/>
            </w:tcBorders>
            <w:shd w:val="clear" w:color="auto" w:fill="FFFFFF"/>
            <w:vAlign w:val="center"/>
          </w:tcPr>
          <w:p w:rsidR="00B5351D" w:rsidRPr="00B117D2" w:rsidRDefault="0032518A" w:rsidP="00B117D2">
            <w:pPr>
              <w:jc w:val="center"/>
              <w:rPr>
                <w:rFonts w:ascii="Times New Roman" w:hAnsi="Times New Roman" w:cs="Times New Roman"/>
                <w:sz w:val="22"/>
                <w:szCs w:val="22"/>
              </w:rPr>
            </w:pPr>
            <w:r w:rsidRPr="00B117D2">
              <w:rPr>
                <w:rFonts w:ascii="Times New Roman" w:hAnsi="Times New Roman" w:cs="Times New Roman"/>
                <w:sz w:val="22"/>
                <w:szCs w:val="22"/>
              </w:rPr>
              <w:lastRenderedPageBreak/>
              <w:t>Конкурентні</w:t>
            </w:r>
            <w:r w:rsidR="00B117D2">
              <w:rPr>
                <w:rFonts w:ascii="Times New Roman" w:hAnsi="Times New Roman" w:cs="Times New Roman"/>
                <w:sz w:val="22"/>
                <w:szCs w:val="22"/>
              </w:rPr>
              <w:t xml:space="preserve"> </w:t>
            </w:r>
            <w:r w:rsidRPr="00B117D2">
              <w:rPr>
                <w:rFonts w:ascii="Times New Roman" w:hAnsi="Times New Roman" w:cs="Times New Roman"/>
                <w:sz w:val="22"/>
                <w:szCs w:val="22"/>
              </w:rPr>
              <w:t>сили</w:t>
            </w:r>
          </w:p>
        </w:tc>
        <w:tc>
          <w:tcPr>
            <w:tcW w:w="1838" w:type="dxa"/>
            <w:vMerge w:val="restart"/>
            <w:tcBorders>
              <w:top w:val="single" w:sz="4" w:space="0" w:color="auto"/>
              <w:left w:val="single" w:sz="4" w:space="0" w:color="auto"/>
            </w:tcBorders>
            <w:shd w:val="clear" w:color="auto" w:fill="FFFFFF"/>
            <w:vAlign w:val="center"/>
          </w:tcPr>
          <w:p w:rsidR="00B5351D" w:rsidRPr="00B117D2" w:rsidRDefault="0032518A" w:rsidP="00B117D2">
            <w:pPr>
              <w:jc w:val="center"/>
              <w:rPr>
                <w:rFonts w:ascii="Times New Roman" w:hAnsi="Times New Roman" w:cs="Times New Roman"/>
                <w:sz w:val="22"/>
                <w:szCs w:val="22"/>
              </w:rPr>
            </w:pPr>
            <w:r w:rsidRPr="00B117D2">
              <w:rPr>
                <w:rFonts w:ascii="Times New Roman" w:hAnsi="Times New Roman" w:cs="Times New Roman"/>
                <w:sz w:val="22"/>
                <w:szCs w:val="22"/>
              </w:rPr>
              <w:t>Фактори</w:t>
            </w:r>
          </w:p>
        </w:tc>
        <w:tc>
          <w:tcPr>
            <w:tcW w:w="4680" w:type="dxa"/>
            <w:gridSpan w:val="2"/>
            <w:vMerge w:val="restart"/>
            <w:tcBorders>
              <w:top w:val="single" w:sz="4" w:space="0" w:color="auto"/>
              <w:left w:val="single" w:sz="4" w:space="0" w:color="auto"/>
            </w:tcBorders>
            <w:shd w:val="clear" w:color="auto" w:fill="FFFFFF"/>
            <w:vAlign w:val="center"/>
          </w:tcPr>
          <w:p w:rsidR="00B5351D" w:rsidRPr="00B117D2" w:rsidRDefault="0032518A" w:rsidP="00B117D2">
            <w:pPr>
              <w:jc w:val="center"/>
              <w:rPr>
                <w:rFonts w:ascii="Times New Roman" w:hAnsi="Times New Roman" w:cs="Times New Roman"/>
                <w:sz w:val="22"/>
                <w:szCs w:val="22"/>
              </w:rPr>
            </w:pPr>
            <w:r w:rsidRPr="00B117D2">
              <w:rPr>
                <w:rFonts w:ascii="Times New Roman" w:hAnsi="Times New Roman" w:cs="Times New Roman"/>
                <w:sz w:val="22"/>
                <w:szCs w:val="22"/>
              </w:rPr>
              <w:t>Стан фактора</w:t>
            </w:r>
          </w:p>
        </w:tc>
        <w:tc>
          <w:tcPr>
            <w:tcW w:w="1670" w:type="dxa"/>
            <w:gridSpan w:val="6"/>
            <w:tcBorders>
              <w:top w:val="single" w:sz="4" w:space="0" w:color="auto"/>
              <w:left w:val="single" w:sz="4" w:space="0" w:color="auto"/>
              <w:right w:val="single" w:sz="4" w:space="0" w:color="auto"/>
            </w:tcBorders>
            <w:shd w:val="clear" w:color="auto" w:fill="FFFFFF"/>
            <w:vAlign w:val="bottom"/>
          </w:tcPr>
          <w:p w:rsidR="00B5351D" w:rsidRPr="00B117D2" w:rsidRDefault="0032518A" w:rsidP="00B117D2">
            <w:pPr>
              <w:jc w:val="center"/>
              <w:rPr>
                <w:rFonts w:ascii="Times New Roman" w:hAnsi="Times New Roman" w:cs="Times New Roman"/>
                <w:sz w:val="22"/>
                <w:szCs w:val="22"/>
              </w:rPr>
            </w:pPr>
            <w:r w:rsidRPr="00B117D2">
              <w:rPr>
                <w:rFonts w:ascii="Times New Roman" w:hAnsi="Times New Roman" w:cs="Times New Roman"/>
                <w:sz w:val="22"/>
                <w:szCs w:val="22"/>
              </w:rPr>
              <w:t xml:space="preserve">Оцінка </w:t>
            </w:r>
            <w:r w:rsidRPr="00B117D2">
              <w:rPr>
                <w:rFonts w:ascii="Times New Roman" w:hAnsi="Times New Roman" w:cs="Times New Roman"/>
                <w:sz w:val="22"/>
                <w:szCs w:val="22"/>
                <w:lang w:val="ru-RU" w:eastAsia="ru-RU" w:bidi="ru-RU"/>
              </w:rPr>
              <w:t>фак</w:t>
            </w:r>
            <w:r w:rsidRPr="00B117D2">
              <w:rPr>
                <w:rFonts w:ascii="Times New Roman" w:hAnsi="Times New Roman" w:cs="Times New Roman"/>
                <w:sz w:val="22"/>
                <w:szCs w:val="22"/>
                <w:lang w:val="ru-RU" w:eastAsia="ru-RU" w:bidi="ru-RU"/>
              </w:rPr>
              <w:softHyphen/>
              <w:t>тора</w:t>
            </w:r>
            <w:r w:rsidRPr="00B117D2">
              <w:rPr>
                <w:rFonts w:ascii="Times New Roman" w:hAnsi="Times New Roman" w:cs="Times New Roman"/>
                <w:sz w:val="22"/>
                <w:szCs w:val="22"/>
              </w:rPr>
              <w:t xml:space="preserve"> в </w:t>
            </w:r>
            <w:r w:rsidRPr="00B117D2">
              <w:rPr>
                <w:rFonts w:ascii="Times New Roman" w:hAnsi="Times New Roman" w:cs="Times New Roman"/>
                <w:sz w:val="22"/>
                <w:szCs w:val="22"/>
                <w:lang w:val="ru-RU" w:eastAsia="ru-RU" w:bidi="ru-RU"/>
              </w:rPr>
              <w:t>балах</w:t>
            </w:r>
          </w:p>
        </w:tc>
      </w:tr>
      <w:tr w:rsidR="00B5351D" w:rsidRPr="00B117D2">
        <w:trPr>
          <w:gridAfter w:val="1"/>
          <w:wAfter w:w="6" w:type="dxa"/>
          <w:trHeight w:val="298"/>
        </w:trPr>
        <w:tc>
          <w:tcPr>
            <w:tcW w:w="1675"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38"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4680" w:type="dxa"/>
            <w:gridSpan w:val="2"/>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552"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1</w:t>
            </w:r>
          </w:p>
        </w:tc>
        <w:tc>
          <w:tcPr>
            <w:tcW w:w="552"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2</w:t>
            </w:r>
          </w:p>
        </w:tc>
        <w:tc>
          <w:tcPr>
            <w:tcW w:w="566" w:type="dxa"/>
            <w:gridSpan w:val="2"/>
            <w:tcBorders>
              <w:top w:val="single" w:sz="4" w:space="0" w:color="auto"/>
              <w:left w:val="single" w:sz="4" w:space="0" w:color="auto"/>
              <w:righ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3</w:t>
            </w:r>
          </w:p>
        </w:tc>
      </w:tr>
      <w:tr w:rsidR="00B5351D" w:rsidRPr="00B117D2">
        <w:trPr>
          <w:gridAfter w:val="1"/>
          <w:wAfter w:w="6" w:type="dxa"/>
          <w:trHeight w:val="283"/>
        </w:trPr>
        <w:tc>
          <w:tcPr>
            <w:tcW w:w="1675" w:type="dxa"/>
            <w:tcBorders>
              <w:top w:val="single" w:sz="4" w:space="0" w:color="auto"/>
              <w:left w:val="single" w:sz="4" w:space="0" w:color="auto"/>
            </w:tcBorders>
            <w:shd w:val="clear" w:color="auto" w:fill="FFFFFF"/>
            <w:vAlign w:val="bottom"/>
          </w:tcPr>
          <w:p w:rsidR="00B5351D" w:rsidRPr="00B117D2" w:rsidRDefault="0032518A" w:rsidP="00B117D2">
            <w:pPr>
              <w:jc w:val="center"/>
              <w:rPr>
                <w:rFonts w:ascii="Times New Roman" w:hAnsi="Times New Roman" w:cs="Times New Roman"/>
                <w:sz w:val="22"/>
                <w:szCs w:val="22"/>
              </w:rPr>
            </w:pPr>
            <w:r w:rsidRPr="00B117D2">
              <w:rPr>
                <w:rFonts w:ascii="Times New Roman" w:hAnsi="Times New Roman" w:cs="Times New Roman"/>
                <w:sz w:val="22"/>
                <w:szCs w:val="22"/>
              </w:rPr>
              <w:t>1</w:t>
            </w:r>
          </w:p>
        </w:tc>
        <w:tc>
          <w:tcPr>
            <w:tcW w:w="1838" w:type="dxa"/>
            <w:tcBorders>
              <w:top w:val="single" w:sz="4" w:space="0" w:color="auto"/>
              <w:left w:val="single" w:sz="4" w:space="0" w:color="auto"/>
            </w:tcBorders>
            <w:shd w:val="clear" w:color="auto" w:fill="FFFFFF"/>
            <w:vAlign w:val="bottom"/>
          </w:tcPr>
          <w:p w:rsidR="00B5351D" w:rsidRPr="00B117D2" w:rsidRDefault="0032518A" w:rsidP="00B117D2">
            <w:pPr>
              <w:jc w:val="center"/>
              <w:rPr>
                <w:rFonts w:ascii="Times New Roman" w:hAnsi="Times New Roman" w:cs="Times New Roman"/>
                <w:sz w:val="22"/>
                <w:szCs w:val="22"/>
              </w:rPr>
            </w:pPr>
            <w:r w:rsidRPr="00B117D2">
              <w:rPr>
                <w:rFonts w:ascii="Times New Roman" w:hAnsi="Times New Roman" w:cs="Times New Roman"/>
                <w:sz w:val="22"/>
                <w:szCs w:val="22"/>
              </w:rPr>
              <w:t>2</w:t>
            </w:r>
          </w:p>
        </w:tc>
        <w:tc>
          <w:tcPr>
            <w:tcW w:w="4680" w:type="dxa"/>
            <w:gridSpan w:val="2"/>
            <w:tcBorders>
              <w:top w:val="single" w:sz="4" w:space="0" w:color="auto"/>
              <w:left w:val="single" w:sz="4" w:space="0" w:color="auto"/>
            </w:tcBorders>
            <w:shd w:val="clear" w:color="auto" w:fill="FFFFFF"/>
            <w:vAlign w:val="center"/>
          </w:tcPr>
          <w:p w:rsidR="00B5351D" w:rsidRPr="00B117D2" w:rsidRDefault="0032518A" w:rsidP="00B117D2">
            <w:pPr>
              <w:jc w:val="center"/>
              <w:rPr>
                <w:rFonts w:ascii="Times New Roman" w:hAnsi="Times New Roman" w:cs="Times New Roman"/>
                <w:sz w:val="22"/>
                <w:szCs w:val="22"/>
              </w:rPr>
            </w:pPr>
            <w:r w:rsidRPr="00B117D2">
              <w:rPr>
                <w:rFonts w:ascii="Times New Roman" w:hAnsi="Times New Roman" w:cs="Times New Roman"/>
                <w:sz w:val="22"/>
                <w:szCs w:val="22"/>
              </w:rPr>
              <w:t>3</w:t>
            </w:r>
          </w:p>
        </w:tc>
        <w:tc>
          <w:tcPr>
            <w:tcW w:w="552" w:type="dxa"/>
            <w:gridSpan w:val="2"/>
            <w:tcBorders>
              <w:top w:val="single" w:sz="4" w:space="0" w:color="auto"/>
              <w:left w:val="single" w:sz="4" w:space="0" w:color="auto"/>
            </w:tcBorders>
            <w:shd w:val="clear" w:color="auto" w:fill="FFFFFF"/>
            <w:vAlign w:val="center"/>
          </w:tcPr>
          <w:p w:rsidR="00B5351D" w:rsidRPr="00B117D2" w:rsidRDefault="0032518A" w:rsidP="00B117D2">
            <w:pPr>
              <w:jc w:val="center"/>
              <w:rPr>
                <w:rFonts w:ascii="Times New Roman" w:hAnsi="Times New Roman" w:cs="Times New Roman"/>
                <w:sz w:val="22"/>
                <w:szCs w:val="22"/>
              </w:rPr>
            </w:pPr>
            <w:r w:rsidRPr="00B117D2">
              <w:rPr>
                <w:rFonts w:ascii="Times New Roman" w:hAnsi="Times New Roman" w:cs="Times New Roman"/>
                <w:sz w:val="22"/>
                <w:szCs w:val="22"/>
              </w:rPr>
              <w:t>4</w:t>
            </w:r>
          </w:p>
        </w:tc>
        <w:tc>
          <w:tcPr>
            <w:tcW w:w="552" w:type="dxa"/>
            <w:gridSpan w:val="2"/>
            <w:tcBorders>
              <w:top w:val="single" w:sz="4" w:space="0" w:color="auto"/>
              <w:left w:val="single" w:sz="4" w:space="0" w:color="auto"/>
            </w:tcBorders>
            <w:shd w:val="clear" w:color="auto" w:fill="FFFFFF"/>
            <w:vAlign w:val="center"/>
          </w:tcPr>
          <w:p w:rsidR="00B5351D" w:rsidRPr="00B117D2" w:rsidRDefault="0032518A" w:rsidP="00B117D2">
            <w:pPr>
              <w:jc w:val="center"/>
              <w:rPr>
                <w:rFonts w:ascii="Times New Roman" w:hAnsi="Times New Roman" w:cs="Times New Roman"/>
                <w:sz w:val="22"/>
                <w:szCs w:val="22"/>
              </w:rPr>
            </w:pPr>
            <w:r w:rsidRPr="00B117D2">
              <w:rPr>
                <w:rFonts w:ascii="Times New Roman" w:hAnsi="Times New Roman" w:cs="Times New Roman"/>
                <w:sz w:val="22"/>
                <w:szCs w:val="22"/>
              </w:rPr>
              <w:t>5</w:t>
            </w:r>
          </w:p>
        </w:tc>
        <w:tc>
          <w:tcPr>
            <w:tcW w:w="566" w:type="dxa"/>
            <w:gridSpan w:val="2"/>
            <w:tcBorders>
              <w:top w:val="single" w:sz="4" w:space="0" w:color="auto"/>
              <w:left w:val="single" w:sz="4" w:space="0" w:color="auto"/>
              <w:right w:val="single" w:sz="4" w:space="0" w:color="auto"/>
            </w:tcBorders>
            <w:shd w:val="clear" w:color="auto" w:fill="FFFFFF"/>
            <w:vAlign w:val="bottom"/>
          </w:tcPr>
          <w:p w:rsidR="00B5351D" w:rsidRPr="00B117D2" w:rsidRDefault="0032518A" w:rsidP="00B117D2">
            <w:pPr>
              <w:jc w:val="center"/>
              <w:rPr>
                <w:rFonts w:ascii="Times New Roman" w:hAnsi="Times New Roman" w:cs="Times New Roman"/>
                <w:sz w:val="22"/>
                <w:szCs w:val="22"/>
              </w:rPr>
            </w:pPr>
            <w:r w:rsidRPr="00B117D2">
              <w:rPr>
                <w:rFonts w:ascii="Times New Roman" w:hAnsi="Times New Roman" w:cs="Times New Roman"/>
                <w:sz w:val="22"/>
                <w:szCs w:val="22"/>
              </w:rPr>
              <w:t>6</w:t>
            </w:r>
          </w:p>
        </w:tc>
      </w:tr>
      <w:tr w:rsidR="00B5351D" w:rsidRPr="00B117D2">
        <w:trPr>
          <w:gridAfter w:val="1"/>
          <w:wAfter w:w="6" w:type="dxa"/>
          <w:trHeight w:val="302"/>
        </w:trPr>
        <w:tc>
          <w:tcPr>
            <w:tcW w:w="1675" w:type="dxa"/>
            <w:vMerge w:val="restart"/>
            <w:tcBorders>
              <w:top w:val="single" w:sz="4" w:space="0" w:color="auto"/>
              <w:left w:val="single" w:sz="4" w:space="0" w:color="auto"/>
            </w:tcBorders>
            <w:shd w:val="clear" w:color="auto" w:fill="FFFFFF"/>
            <w:vAlign w:val="center"/>
          </w:tcPr>
          <w:p w:rsidR="00B5351D" w:rsidRPr="00B117D2" w:rsidRDefault="0032518A" w:rsidP="00B117D2">
            <w:pPr>
              <w:ind w:firstLine="360"/>
              <w:jc w:val="both"/>
              <w:rPr>
                <w:rFonts w:ascii="Times New Roman" w:hAnsi="Times New Roman" w:cs="Times New Roman"/>
                <w:sz w:val="22"/>
                <w:szCs w:val="22"/>
              </w:rPr>
            </w:pPr>
            <w:r w:rsidRPr="00B117D2">
              <w:rPr>
                <w:rFonts w:ascii="Times New Roman" w:hAnsi="Times New Roman" w:cs="Times New Roman"/>
                <w:sz w:val="22"/>
                <w:szCs w:val="22"/>
              </w:rPr>
              <w:t>1. Проник</w:t>
            </w:r>
            <w:r w:rsidRPr="00B117D2">
              <w:rPr>
                <w:rFonts w:ascii="Times New Roman" w:hAnsi="Times New Roman" w:cs="Times New Roman"/>
                <w:sz w:val="22"/>
                <w:szCs w:val="22"/>
              </w:rPr>
              <w:softHyphen/>
              <w:t>нення нових конкурентів</w:t>
            </w:r>
          </w:p>
        </w:tc>
        <w:tc>
          <w:tcPr>
            <w:tcW w:w="1838" w:type="dxa"/>
            <w:vMerge w:val="restart"/>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1.1. Рівень вхідного бар’єра</w:t>
            </w:r>
          </w:p>
        </w:tc>
        <w:tc>
          <w:tcPr>
            <w:tcW w:w="468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значна економія на масштабах збуту</w:t>
            </w:r>
          </w:p>
        </w:tc>
        <w:tc>
          <w:tcPr>
            <w:tcW w:w="552"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trPr>
          <w:gridAfter w:val="1"/>
          <w:wAfter w:w="6" w:type="dxa"/>
          <w:trHeight w:val="307"/>
        </w:trPr>
        <w:tc>
          <w:tcPr>
            <w:tcW w:w="1675"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38"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468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високий рівень фінансових інвестицій</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52"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66"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rsidTr="00B117D2">
        <w:trPr>
          <w:gridAfter w:val="1"/>
          <w:wAfter w:w="6" w:type="dxa"/>
          <w:trHeight w:val="114"/>
        </w:trPr>
        <w:tc>
          <w:tcPr>
            <w:tcW w:w="1675"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38"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468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консерватизм існуючої системи постачанім</w:t>
            </w:r>
          </w:p>
        </w:tc>
        <w:tc>
          <w:tcPr>
            <w:tcW w:w="552" w:type="dxa"/>
            <w:gridSpan w:val="2"/>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trPr>
          <w:gridAfter w:val="1"/>
          <w:wAfter w:w="6" w:type="dxa"/>
          <w:trHeight w:val="302"/>
        </w:trPr>
        <w:tc>
          <w:tcPr>
            <w:tcW w:w="1675"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38"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468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низький ступінь диференціації продукції</w:t>
            </w:r>
          </w:p>
        </w:tc>
        <w:tc>
          <w:tcPr>
            <w:tcW w:w="552"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rsidTr="00B117D2">
        <w:trPr>
          <w:gridAfter w:val="1"/>
          <w:wAfter w:w="6" w:type="dxa"/>
          <w:trHeight w:val="225"/>
        </w:trPr>
        <w:tc>
          <w:tcPr>
            <w:tcW w:w="1675"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38"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468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необхідність залучення постійних покупців</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righ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r>
      <w:tr w:rsidR="00B5351D" w:rsidRPr="00B117D2" w:rsidTr="00B117D2">
        <w:trPr>
          <w:gridAfter w:val="1"/>
          <w:wAfter w:w="6" w:type="dxa"/>
          <w:trHeight w:val="73"/>
        </w:trPr>
        <w:tc>
          <w:tcPr>
            <w:tcW w:w="1675"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38" w:type="dxa"/>
            <w:vMerge w:val="restart"/>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1.2. Реакція існуючих конкурентів</w:t>
            </w:r>
          </w:p>
        </w:tc>
        <w:tc>
          <w:tcPr>
            <w:tcW w:w="468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відсутність активної маркетингової політики</w:t>
            </w:r>
          </w:p>
        </w:tc>
        <w:tc>
          <w:tcPr>
            <w:tcW w:w="552" w:type="dxa"/>
            <w:gridSpan w:val="2"/>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rsidTr="00B117D2">
        <w:trPr>
          <w:gridAfter w:val="1"/>
          <w:wAfter w:w="6" w:type="dxa"/>
          <w:trHeight w:val="300"/>
        </w:trPr>
        <w:tc>
          <w:tcPr>
            <w:tcW w:w="1675"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38"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468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низька інноваційна активність управлінського персоналу суб’єкта бізнесу</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righ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r>
      <w:tr w:rsidR="00B5351D" w:rsidRPr="00B117D2" w:rsidTr="00B117D2">
        <w:trPr>
          <w:gridAfter w:val="1"/>
          <w:wAfter w:w="6" w:type="dxa"/>
          <w:trHeight w:val="124"/>
        </w:trPr>
        <w:tc>
          <w:tcPr>
            <w:tcW w:w="1675"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38"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468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слабке використання методів ведення конкурентної боротьби</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52" w:type="dxa"/>
            <w:gridSpan w:val="2"/>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66"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trPr>
          <w:gridAfter w:val="1"/>
          <w:wAfter w:w="6" w:type="dxa"/>
          <w:trHeight w:val="288"/>
        </w:trPr>
        <w:tc>
          <w:tcPr>
            <w:tcW w:w="8193" w:type="dxa"/>
            <w:gridSpan w:val="4"/>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Середнє значення сили впливу проникнення нових конкурентів (І</w:t>
            </w:r>
            <w:r w:rsidRPr="00B117D2">
              <w:rPr>
                <w:rFonts w:ascii="Times New Roman" w:hAnsi="Times New Roman" w:cs="Times New Roman"/>
                <w:sz w:val="22"/>
                <w:szCs w:val="22"/>
                <w:vertAlign w:val="subscript"/>
              </w:rPr>
              <w:t>нк</w:t>
            </w:r>
            <w:r w:rsidRPr="00B117D2">
              <w:rPr>
                <w:rFonts w:ascii="Times New Roman" w:hAnsi="Times New Roman" w:cs="Times New Roman"/>
                <w:sz w:val="22"/>
                <w:szCs w:val="22"/>
              </w:rPr>
              <w:t>)</w:t>
            </w:r>
          </w:p>
        </w:tc>
        <w:tc>
          <w:tcPr>
            <w:tcW w:w="1670" w:type="dxa"/>
            <w:gridSpan w:val="6"/>
            <w:tcBorders>
              <w:top w:val="single" w:sz="4" w:space="0" w:color="auto"/>
              <w:left w:val="single" w:sz="4" w:space="0" w:color="auto"/>
              <w:righ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1,75</w:t>
            </w:r>
          </w:p>
        </w:tc>
      </w:tr>
      <w:tr w:rsidR="00B5351D" w:rsidRPr="00B117D2">
        <w:trPr>
          <w:gridAfter w:val="1"/>
          <w:wAfter w:w="6" w:type="dxa"/>
          <w:trHeight w:val="302"/>
        </w:trPr>
        <w:tc>
          <w:tcPr>
            <w:tcW w:w="1675" w:type="dxa"/>
            <w:vMerge w:val="restart"/>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2. Поява товарів- замінників</w:t>
            </w:r>
          </w:p>
        </w:tc>
        <w:tc>
          <w:tcPr>
            <w:tcW w:w="1838" w:type="dxa"/>
            <w:vMerge w:val="restart"/>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2.1. Вплив товарів- замінників</w:t>
            </w:r>
          </w:p>
        </w:tc>
        <w:tc>
          <w:tcPr>
            <w:tcW w:w="468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перевагу отримує товар з нижчою ціною</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righ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r>
      <w:tr w:rsidR="00B5351D" w:rsidRPr="00B117D2">
        <w:trPr>
          <w:gridAfter w:val="1"/>
          <w:wAfter w:w="6" w:type="dxa"/>
          <w:trHeight w:val="581"/>
        </w:trPr>
        <w:tc>
          <w:tcPr>
            <w:tcW w:w="1675"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38"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468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тенденція до реалізації дешевших та менш якісних товарів</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righ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r>
      <w:tr w:rsidR="00B5351D" w:rsidRPr="00B117D2" w:rsidTr="00B117D2">
        <w:trPr>
          <w:gridAfter w:val="1"/>
          <w:wAfter w:w="6" w:type="dxa"/>
          <w:trHeight w:val="281"/>
        </w:trPr>
        <w:tc>
          <w:tcPr>
            <w:tcW w:w="1675"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38"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468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відсутність суттєвих розбіжностей в асортименті основних конкурентів</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52" w:type="dxa"/>
            <w:gridSpan w:val="2"/>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66"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rsidTr="00B117D2">
        <w:trPr>
          <w:gridAfter w:val="1"/>
          <w:wAfter w:w="6" w:type="dxa"/>
          <w:trHeight w:val="753"/>
        </w:trPr>
        <w:tc>
          <w:tcPr>
            <w:tcW w:w="1675" w:type="dxa"/>
            <w:vMerge/>
            <w:tcBorders>
              <w:left w:val="single" w:sz="4" w:space="0" w:color="auto"/>
              <w:bottom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38" w:type="dxa"/>
            <w:tcBorders>
              <w:top w:val="single" w:sz="4" w:space="0" w:color="auto"/>
              <w:left w:val="single" w:sz="4" w:space="0" w:color="auto"/>
              <w:bottom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2.2. Проти</w:t>
            </w:r>
            <w:r w:rsidRPr="00B117D2">
              <w:rPr>
                <w:rFonts w:ascii="Times New Roman" w:hAnsi="Times New Roman" w:cs="Times New Roman"/>
                <w:sz w:val="22"/>
                <w:szCs w:val="22"/>
              </w:rPr>
              <w:softHyphen/>
              <w:t>законна імітація існуючих виробів</w:t>
            </w:r>
          </w:p>
        </w:tc>
        <w:tc>
          <w:tcPr>
            <w:tcW w:w="4680" w:type="dxa"/>
            <w:gridSpan w:val="2"/>
            <w:tcBorders>
              <w:top w:val="single" w:sz="4" w:space="0" w:color="auto"/>
              <w:left w:val="single" w:sz="4" w:space="0" w:color="auto"/>
              <w:bottom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поява великої кількості товарів- замінників, отриманих у результаті дублювання відомих товарних марок</w:t>
            </w:r>
          </w:p>
        </w:tc>
        <w:tc>
          <w:tcPr>
            <w:tcW w:w="552" w:type="dxa"/>
            <w:gridSpan w:val="2"/>
            <w:tcBorders>
              <w:top w:val="single" w:sz="4" w:space="0" w:color="auto"/>
              <w:left w:val="single" w:sz="4" w:space="0" w:color="auto"/>
              <w:bottom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52" w:type="dxa"/>
            <w:gridSpan w:val="2"/>
            <w:tcBorders>
              <w:top w:val="single" w:sz="4" w:space="0" w:color="auto"/>
              <w:left w:val="single" w:sz="4" w:space="0" w:color="auto"/>
              <w:bottom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r>
      <w:tr w:rsidR="00B5351D" w:rsidRPr="00B117D2">
        <w:trPr>
          <w:trHeight w:val="283"/>
        </w:trPr>
        <w:tc>
          <w:tcPr>
            <w:tcW w:w="8213" w:type="dxa"/>
            <w:gridSpan w:val="5"/>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Середнє значення сили впливу товарів-замінників (І</w:t>
            </w:r>
            <w:r w:rsidRPr="00B117D2">
              <w:rPr>
                <w:rFonts w:ascii="Times New Roman" w:hAnsi="Times New Roman" w:cs="Times New Roman"/>
                <w:sz w:val="22"/>
                <w:szCs w:val="22"/>
                <w:vertAlign w:val="subscript"/>
              </w:rPr>
              <w:t>тз</w:t>
            </w:r>
            <w:r w:rsidRPr="00B117D2">
              <w:rPr>
                <w:rFonts w:ascii="Times New Roman" w:hAnsi="Times New Roman" w:cs="Times New Roman"/>
                <w:sz w:val="22"/>
                <w:szCs w:val="22"/>
              </w:rPr>
              <w:t>)</w:t>
            </w:r>
          </w:p>
        </w:tc>
        <w:tc>
          <w:tcPr>
            <w:tcW w:w="1656" w:type="dxa"/>
            <w:gridSpan w:val="6"/>
            <w:tcBorders>
              <w:top w:val="single" w:sz="4" w:space="0" w:color="auto"/>
              <w:left w:val="single" w:sz="4" w:space="0" w:color="auto"/>
              <w:righ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2,75</w:t>
            </w:r>
          </w:p>
        </w:tc>
      </w:tr>
      <w:tr w:rsidR="00B5351D" w:rsidRPr="00B117D2">
        <w:trPr>
          <w:trHeight w:val="667"/>
        </w:trPr>
        <w:tc>
          <w:tcPr>
            <w:tcW w:w="1670" w:type="dxa"/>
            <w:vMerge w:val="restart"/>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3. Конку</w:t>
            </w:r>
            <w:r w:rsidRPr="00B117D2">
              <w:rPr>
                <w:rFonts w:ascii="Times New Roman" w:hAnsi="Times New Roman" w:cs="Times New Roman"/>
                <w:sz w:val="22"/>
                <w:szCs w:val="22"/>
              </w:rPr>
              <w:softHyphen/>
              <w:t>рентна сила покупців</w:t>
            </w:r>
          </w:p>
        </w:tc>
        <w:tc>
          <w:tcPr>
            <w:tcW w:w="1853" w:type="dxa"/>
            <w:gridSpan w:val="2"/>
            <w:vMerge w:val="restart"/>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3.1. Вплив по</w:t>
            </w:r>
            <w:r w:rsidRPr="00B117D2">
              <w:rPr>
                <w:rFonts w:ascii="Times New Roman" w:hAnsi="Times New Roman" w:cs="Times New Roman"/>
                <w:sz w:val="22"/>
                <w:szCs w:val="22"/>
              </w:rPr>
              <w:softHyphen/>
              <w:t>купців на кон’юнктурні позиції суб’єкта бізнесу</w:t>
            </w:r>
          </w:p>
        </w:tc>
        <w:tc>
          <w:tcPr>
            <w:tcW w:w="4690" w:type="dxa"/>
            <w:gridSpan w:val="2"/>
            <w:vMerge w:val="restart"/>
            <w:tcBorders>
              <w:top w:val="single" w:sz="4" w:space="0" w:color="auto"/>
              <w:left w:val="single" w:sz="4" w:space="0" w:color="auto"/>
            </w:tcBorders>
            <w:shd w:val="clear" w:color="auto" w:fill="FFFFFF"/>
            <w:vAlign w:val="bottom"/>
          </w:tcPr>
          <w:p w:rsidR="00B5351D" w:rsidRPr="00B117D2" w:rsidRDefault="0032518A" w:rsidP="00B117D2">
            <w:pPr>
              <w:tabs>
                <w:tab w:val="left" w:pos="178"/>
              </w:tabs>
              <w:jc w:val="both"/>
              <w:rPr>
                <w:rFonts w:ascii="Times New Roman" w:hAnsi="Times New Roman" w:cs="Times New Roman"/>
                <w:sz w:val="22"/>
                <w:szCs w:val="22"/>
              </w:rPr>
            </w:pPr>
            <w:r w:rsidRPr="00B117D2">
              <w:rPr>
                <w:rFonts w:ascii="Times New Roman" w:hAnsi="Times New Roman" w:cs="Times New Roman"/>
                <w:sz w:val="22"/>
                <w:szCs w:val="22"/>
              </w:rPr>
              <w:t>- високий ступінь організації споживачів;</w:t>
            </w:r>
          </w:p>
          <w:p w:rsidR="00B5351D" w:rsidRPr="00B117D2" w:rsidRDefault="0032518A" w:rsidP="00B117D2">
            <w:pPr>
              <w:tabs>
                <w:tab w:val="left" w:pos="302"/>
              </w:tabs>
              <w:jc w:val="both"/>
              <w:rPr>
                <w:rFonts w:ascii="Times New Roman" w:hAnsi="Times New Roman" w:cs="Times New Roman"/>
                <w:sz w:val="22"/>
                <w:szCs w:val="22"/>
              </w:rPr>
            </w:pPr>
            <w:r w:rsidRPr="00B117D2">
              <w:rPr>
                <w:rFonts w:ascii="Times New Roman" w:hAnsi="Times New Roman" w:cs="Times New Roman"/>
                <w:sz w:val="22"/>
                <w:szCs w:val="22"/>
              </w:rPr>
              <w:t>- великі можливості покупців у виборі товарів-аналогів</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38"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trPr>
          <w:trHeight w:val="283"/>
        </w:trPr>
        <w:tc>
          <w:tcPr>
            <w:tcW w:w="1670"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53" w:type="dxa"/>
            <w:gridSpan w:val="2"/>
            <w:vMerge/>
            <w:tcBorders>
              <w:left w:val="single" w:sz="4" w:space="0" w:color="auto"/>
            </w:tcBorders>
            <w:shd w:val="clear" w:color="auto" w:fill="FFFFFF"/>
            <w:vAlign w:val="bottom"/>
          </w:tcPr>
          <w:p w:rsidR="00B5351D" w:rsidRPr="00B117D2" w:rsidRDefault="00B5351D" w:rsidP="00B117D2">
            <w:pPr>
              <w:jc w:val="both"/>
              <w:rPr>
                <w:rFonts w:ascii="Times New Roman" w:hAnsi="Times New Roman" w:cs="Times New Roman"/>
                <w:sz w:val="22"/>
                <w:szCs w:val="22"/>
              </w:rPr>
            </w:pPr>
          </w:p>
        </w:tc>
        <w:tc>
          <w:tcPr>
            <w:tcW w:w="4690" w:type="dxa"/>
            <w:gridSpan w:val="2"/>
            <w:vMerge/>
            <w:tcBorders>
              <w:left w:val="single" w:sz="4" w:space="0" w:color="auto"/>
            </w:tcBorders>
            <w:shd w:val="clear" w:color="auto" w:fill="FFFFFF"/>
            <w:vAlign w:val="bottom"/>
          </w:tcPr>
          <w:p w:rsidR="00B5351D" w:rsidRPr="00B117D2" w:rsidRDefault="00B5351D" w:rsidP="00B117D2">
            <w:pPr>
              <w:jc w:val="both"/>
              <w:rPr>
                <w:rFonts w:ascii="Times New Roman" w:hAnsi="Times New Roman" w:cs="Times New Roman"/>
                <w:sz w:val="22"/>
                <w:szCs w:val="22"/>
              </w:rPr>
            </w:pP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38"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trPr>
          <w:trHeight w:val="302"/>
        </w:trPr>
        <w:tc>
          <w:tcPr>
            <w:tcW w:w="1670"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53" w:type="dxa"/>
            <w:gridSpan w:val="2"/>
            <w:vMerge/>
            <w:tcBorders>
              <w:left w:val="single" w:sz="4" w:space="0" w:color="auto"/>
            </w:tcBorders>
            <w:shd w:val="clear" w:color="auto" w:fill="FFFFFF"/>
            <w:vAlign w:val="bottom"/>
          </w:tcPr>
          <w:p w:rsidR="00B5351D" w:rsidRPr="00B117D2" w:rsidRDefault="00B5351D" w:rsidP="00B117D2">
            <w:pPr>
              <w:jc w:val="both"/>
              <w:rPr>
                <w:rFonts w:ascii="Times New Roman" w:hAnsi="Times New Roman" w:cs="Times New Roman"/>
                <w:sz w:val="22"/>
                <w:szCs w:val="22"/>
              </w:rPr>
            </w:pPr>
          </w:p>
        </w:tc>
        <w:tc>
          <w:tcPr>
            <w:tcW w:w="469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високий ступінь стандартизації продукції</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38" w:type="dxa"/>
            <w:gridSpan w:val="2"/>
            <w:tcBorders>
              <w:top w:val="single" w:sz="4" w:space="0" w:color="auto"/>
              <w:left w:val="single" w:sz="4" w:space="0" w:color="auto"/>
              <w:righ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r>
      <w:tr w:rsidR="00B5351D" w:rsidRPr="00B117D2">
        <w:trPr>
          <w:trHeight w:val="581"/>
        </w:trPr>
        <w:tc>
          <w:tcPr>
            <w:tcW w:w="1670"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53" w:type="dxa"/>
            <w:gridSpan w:val="2"/>
            <w:vMerge/>
            <w:tcBorders>
              <w:left w:val="single" w:sz="4" w:space="0" w:color="auto"/>
            </w:tcBorders>
            <w:shd w:val="clear" w:color="auto" w:fill="FFFFFF"/>
            <w:vAlign w:val="bottom"/>
          </w:tcPr>
          <w:p w:rsidR="00B5351D" w:rsidRPr="00B117D2" w:rsidRDefault="00B5351D" w:rsidP="00B117D2">
            <w:pPr>
              <w:jc w:val="both"/>
              <w:rPr>
                <w:rFonts w:ascii="Times New Roman" w:hAnsi="Times New Roman" w:cs="Times New Roman"/>
                <w:sz w:val="22"/>
                <w:szCs w:val="22"/>
              </w:rPr>
            </w:pPr>
          </w:p>
        </w:tc>
        <w:tc>
          <w:tcPr>
            <w:tcW w:w="469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висока мінливість смаків і вподобань споживачів щодо товарів суб’єкта бізнесу</w:t>
            </w:r>
          </w:p>
        </w:tc>
        <w:tc>
          <w:tcPr>
            <w:tcW w:w="552" w:type="dxa"/>
            <w:gridSpan w:val="2"/>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66"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38"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trPr>
          <w:trHeight w:val="581"/>
        </w:trPr>
        <w:tc>
          <w:tcPr>
            <w:tcW w:w="1670"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53" w:type="dxa"/>
            <w:gridSpan w:val="2"/>
            <w:vMerge w:val="restart"/>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3.2. Торгове</w:t>
            </w:r>
            <w:r w:rsidRPr="00B117D2">
              <w:rPr>
                <w:rFonts w:ascii="Times New Roman" w:hAnsi="Times New Roman" w:cs="Times New Roman"/>
                <w:sz w:val="22"/>
                <w:szCs w:val="22"/>
              </w:rPr>
              <w:softHyphen/>
              <w:t>льна сила споживачів</w:t>
            </w:r>
          </w:p>
        </w:tc>
        <w:tc>
          <w:tcPr>
            <w:tcW w:w="469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зростання рівня інформованості покупців про товари</w:t>
            </w:r>
          </w:p>
        </w:tc>
        <w:tc>
          <w:tcPr>
            <w:tcW w:w="552" w:type="dxa"/>
            <w:gridSpan w:val="2"/>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66"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38"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trPr>
          <w:trHeight w:val="302"/>
        </w:trPr>
        <w:tc>
          <w:tcPr>
            <w:tcW w:w="1670"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53" w:type="dxa"/>
            <w:gridSpan w:val="2"/>
            <w:vMerge/>
            <w:tcBorders>
              <w:left w:val="single" w:sz="4" w:space="0" w:color="auto"/>
            </w:tcBorders>
            <w:shd w:val="clear" w:color="auto" w:fill="FFFFFF"/>
            <w:vAlign w:val="bottom"/>
          </w:tcPr>
          <w:p w:rsidR="00B5351D" w:rsidRPr="00B117D2" w:rsidRDefault="00B5351D" w:rsidP="00B117D2">
            <w:pPr>
              <w:jc w:val="both"/>
              <w:rPr>
                <w:rFonts w:ascii="Times New Roman" w:hAnsi="Times New Roman" w:cs="Times New Roman"/>
                <w:sz w:val="22"/>
                <w:szCs w:val="22"/>
              </w:rPr>
            </w:pPr>
          </w:p>
        </w:tc>
        <w:tc>
          <w:tcPr>
            <w:tcW w:w="469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висока цінова еластичність товару</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38" w:type="dxa"/>
            <w:gridSpan w:val="2"/>
            <w:tcBorders>
              <w:top w:val="single" w:sz="4" w:space="0" w:color="auto"/>
              <w:left w:val="single" w:sz="4" w:space="0" w:color="auto"/>
              <w:righ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r>
      <w:tr w:rsidR="00B5351D" w:rsidRPr="00B117D2">
        <w:trPr>
          <w:trHeight w:val="336"/>
        </w:trPr>
        <w:tc>
          <w:tcPr>
            <w:tcW w:w="8213" w:type="dxa"/>
            <w:gridSpan w:val="5"/>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Середнє значення сили впливу покупців (І</w:t>
            </w:r>
            <w:r w:rsidRPr="00B117D2">
              <w:rPr>
                <w:rFonts w:ascii="Times New Roman" w:hAnsi="Times New Roman" w:cs="Times New Roman"/>
                <w:sz w:val="22"/>
                <w:szCs w:val="22"/>
                <w:vertAlign w:val="subscript"/>
              </w:rPr>
              <w:t>пок</w:t>
            </w:r>
            <w:r w:rsidRPr="00B117D2">
              <w:rPr>
                <w:rFonts w:ascii="Times New Roman" w:hAnsi="Times New Roman" w:cs="Times New Roman"/>
                <w:sz w:val="22"/>
                <w:szCs w:val="22"/>
              </w:rPr>
              <w:t>)</w:t>
            </w:r>
          </w:p>
        </w:tc>
        <w:tc>
          <w:tcPr>
            <w:tcW w:w="1656" w:type="dxa"/>
            <w:gridSpan w:val="6"/>
            <w:tcBorders>
              <w:top w:val="single" w:sz="4" w:space="0" w:color="auto"/>
              <w:left w:val="single" w:sz="4" w:space="0" w:color="auto"/>
              <w:righ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2,00</w:t>
            </w:r>
          </w:p>
        </w:tc>
      </w:tr>
      <w:tr w:rsidR="00B5351D" w:rsidRPr="00B117D2">
        <w:trPr>
          <w:trHeight w:val="581"/>
        </w:trPr>
        <w:tc>
          <w:tcPr>
            <w:tcW w:w="1670" w:type="dxa"/>
            <w:vMerge w:val="restart"/>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4. Конку</w:t>
            </w:r>
            <w:r w:rsidRPr="00B117D2">
              <w:rPr>
                <w:rFonts w:ascii="Times New Roman" w:hAnsi="Times New Roman" w:cs="Times New Roman"/>
                <w:sz w:val="22"/>
                <w:szCs w:val="22"/>
              </w:rPr>
              <w:softHyphen/>
              <w:t>рентна сила постачаль</w:t>
            </w:r>
            <w:r w:rsidRPr="00B117D2">
              <w:rPr>
                <w:rFonts w:ascii="Times New Roman" w:hAnsi="Times New Roman" w:cs="Times New Roman"/>
                <w:sz w:val="22"/>
                <w:szCs w:val="22"/>
              </w:rPr>
              <w:softHyphen/>
              <w:t>ників</w:t>
            </w:r>
          </w:p>
        </w:tc>
        <w:tc>
          <w:tcPr>
            <w:tcW w:w="1853" w:type="dxa"/>
            <w:gridSpan w:val="2"/>
            <w:vMerge w:val="restart"/>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4.1. Вплив постачальників на конкурентну позицію суб’єкта бізнесу</w:t>
            </w:r>
          </w:p>
        </w:tc>
        <w:tc>
          <w:tcPr>
            <w:tcW w:w="469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необмежені можливості суб’єкта бізнесу у виборі постачальника</w:t>
            </w:r>
          </w:p>
        </w:tc>
        <w:tc>
          <w:tcPr>
            <w:tcW w:w="552" w:type="dxa"/>
            <w:gridSpan w:val="2"/>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66"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38"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trPr>
          <w:trHeight w:val="581"/>
        </w:trPr>
        <w:tc>
          <w:tcPr>
            <w:tcW w:w="1670"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53" w:type="dxa"/>
            <w:gridSpan w:val="2"/>
            <w:vMerge/>
            <w:tcBorders>
              <w:left w:val="single" w:sz="4" w:space="0" w:color="auto"/>
            </w:tcBorders>
            <w:shd w:val="clear" w:color="auto" w:fill="FFFFFF"/>
            <w:vAlign w:val="bottom"/>
          </w:tcPr>
          <w:p w:rsidR="00B5351D" w:rsidRPr="00B117D2" w:rsidRDefault="00B5351D" w:rsidP="00B117D2">
            <w:pPr>
              <w:jc w:val="both"/>
              <w:rPr>
                <w:rFonts w:ascii="Times New Roman" w:hAnsi="Times New Roman" w:cs="Times New Roman"/>
                <w:sz w:val="22"/>
                <w:szCs w:val="22"/>
              </w:rPr>
            </w:pPr>
          </w:p>
        </w:tc>
        <w:tc>
          <w:tcPr>
            <w:tcW w:w="469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-тенденція до скорочення тривалості господарських зв’язків</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38"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trPr>
          <w:trHeight w:val="576"/>
        </w:trPr>
        <w:tc>
          <w:tcPr>
            <w:tcW w:w="1670"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53" w:type="dxa"/>
            <w:gridSpan w:val="2"/>
            <w:vMerge/>
            <w:tcBorders>
              <w:left w:val="single" w:sz="4" w:space="0" w:color="auto"/>
            </w:tcBorders>
            <w:shd w:val="clear" w:color="auto" w:fill="FFFFFF"/>
            <w:vAlign w:val="bottom"/>
          </w:tcPr>
          <w:p w:rsidR="00B5351D" w:rsidRPr="00B117D2" w:rsidRDefault="00B5351D" w:rsidP="00B117D2">
            <w:pPr>
              <w:jc w:val="both"/>
              <w:rPr>
                <w:rFonts w:ascii="Times New Roman" w:hAnsi="Times New Roman" w:cs="Times New Roman"/>
                <w:sz w:val="22"/>
                <w:szCs w:val="22"/>
              </w:rPr>
            </w:pPr>
          </w:p>
        </w:tc>
        <w:tc>
          <w:tcPr>
            <w:tcW w:w="469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низька вартість переходу до іншого постачальника</w:t>
            </w:r>
          </w:p>
        </w:tc>
        <w:tc>
          <w:tcPr>
            <w:tcW w:w="552" w:type="dxa"/>
            <w:gridSpan w:val="2"/>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66"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38"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trPr>
          <w:trHeight w:val="302"/>
        </w:trPr>
        <w:tc>
          <w:tcPr>
            <w:tcW w:w="1670"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53" w:type="dxa"/>
            <w:gridSpan w:val="2"/>
            <w:vMerge w:val="restart"/>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4.2. Обмеження ресурсного потенціалу суб’єкта бізнесу</w:t>
            </w:r>
          </w:p>
        </w:tc>
        <w:tc>
          <w:tcPr>
            <w:tcW w:w="469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відсутність власних оборотних активів</w:t>
            </w:r>
          </w:p>
        </w:tc>
        <w:tc>
          <w:tcPr>
            <w:tcW w:w="552"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66"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38"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rsidTr="00B117D2">
        <w:trPr>
          <w:trHeight w:val="216"/>
        </w:trPr>
        <w:tc>
          <w:tcPr>
            <w:tcW w:w="1670"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53" w:type="dxa"/>
            <w:gridSpan w:val="2"/>
            <w:vMerge/>
            <w:tcBorders>
              <w:left w:val="single" w:sz="4" w:space="0" w:color="auto"/>
            </w:tcBorders>
            <w:shd w:val="clear" w:color="auto" w:fill="FFFFFF"/>
            <w:vAlign w:val="bottom"/>
          </w:tcPr>
          <w:p w:rsidR="00B5351D" w:rsidRPr="00B117D2" w:rsidRDefault="00B5351D" w:rsidP="00B117D2">
            <w:pPr>
              <w:jc w:val="both"/>
              <w:rPr>
                <w:rFonts w:ascii="Times New Roman" w:hAnsi="Times New Roman" w:cs="Times New Roman"/>
                <w:sz w:val="22"/>
                <w:szCs w:val="22"/>
              </w:rPr>
            </w:pPr>
          </w:p>
        </w:tc>
        <w:tc>
          <w:tcPr>
            <w:tcW w:w="4690" w:type="dxa"/>
            <w:gridSpan w:val="2"/>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нестача складських приміщень</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38" w:type="dxa"/>
            <w:gridSpan w:val="2"/>
            <w:tcBorders>
              <w:top w:val="single" w:sz="4" w:space="0" w:color="auto"/>
              <w:left w:val="single" w:sz="4" w:space="0" w:color="auto"/>
              <w:righ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r>
      <w:tr w:rsidR="00B5351D" w:rsidRPr="00B117D2">
        <w:trPr>
          <w:trHeight w:val="331"/>
        </w:trPr>
        <w:tc>
          <w:tcPr>
            <w:tcW w:w="8213" w:type="dxa"/>
            <w:gridSpan w:val="5"/>
            <w:tcBorders>
              <w:top w:val="single" w:sz="4" w:space="0" w:color="auto"/>
              <w:left w:val="single" w:sz="4" w:space="0" w:color="auto"/>
            </w:tcBorders>
            <w:shd w:val="clear" w:color="auto" w:fill="FFFFFF"/>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Середнє значення сили впливу постачальників (І</w:t>
            </w:r>
            <w:r w:rsidRPr="00B117D2">
              <w:rPr>
                <w:rFonts w:ascii="Times New Roman" w:hAnsi="Times New Roman" w:cs="Times New Roman"/>
                <w:sz w:val="22"/>
                <w:szCs w:val="22"/>
                <w:vertAlign w:val="subscript"/>
              </w:rPr>
              <w:t>пост</w:t>
            </w:r>
            <w:r w:rsidRPr="00B117D2">
              <w:rPr>
                <w:rFonts w:ascii="Times New Roman" w:hAnsi="Times New Roman" w:cs="Times New Roman"/>
                <w:sz w:val="22"/>
                <w:szCs w:val="22"/>
              </w:rPr>
              <w:t>)</w:t>
            </w:r>
          </w:p>
        </w:tc>
        <w:tc>
          <w:tcPr>
            <w:tcW w:w="1656" w:type="dxa"/>
            <w:gridSpan w:val="6"/>
            <w:tcBorders>
              <w:top w:val="single" w:sz="4" w:space="0" w:color="auto"/>
              <w:left w:val="single" w:sz="4" w:space="0" w:color="auto"/>
              <w:righ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1,60</w:t>
            </w:r>
          </w:p>
        </w:tc>
      </w:tr>
      <w:tr w:rsidR="00B5351D" w:rsidRPr="00B117D2">
        <w:trPr>
          <w:trHeight w:val="576"/>
        </w:trPr>
        <w:tc>
          <w:tcPr>
            <w:tcW w:w="1670" w:type="dxa"/>
            <w:vMerge w:val="restart"/>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5. Конку</w:t>
            </w:r>
            <w:r w:rsidRPr="00B117D2">
              <w:rPr>
                <w:rFonts w:ascii="Times New Roman" w:hAnsi="Times New Roman" w:cs="Times New Roman"/>
                <w:sz w:val="22"/>
                <w:szCs w:val="22"/>
              </w:rPr>
              <w:softHyphen/>
              <w:t>ренція між існуючими на ринку суб’єктами бізнесу</w:t>
            </w:r>
          </w:p>
        </w:tc>
        <w:tc>
          <w:tcPr>
            <w:tcW w:w="1853" w:type="dxa"/>
            <w:gridSpan w:val="2"/>
            <w:vMerge w:val="restart"/>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5.1. Ступінь інтенсивності конкуренції</w:t>
            </w:r>
          </w:p>
        </w:tc>
        <w:tc>
          <w:tcPr>
            <w:tcW w:w="469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узагальнений показник інтенсивності конкуренції</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38" w:type="dxa"/>
            <w:gridSpan w:val="2"/>
            <w:tcBorders>
              <w:top w:val="single" w:sz="4" w:space="0" w:color="auto"/>
              <w:left w:val="single" w:sz="4" w:space="0" w:color="auto"/>
              <w:righ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r>
      <w:tr w:rsidR="00B5351D" w:rsidRPr="00B117D2">
        <w:trPr>
          <w:trHeight w:val="581"/>
        </w:trPr>
        <w:tc>
          <w:tcPr>
            <w:tcW w:w="1670"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53" w:type="dxa"/>
            <w:gridSpan w:val="2"/>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469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наявність великої кількості малих суб’єктів бізнесу-конкурентів</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38" w:type="dxa"/>
            <w:gridSpan w:val="2"/>
            <w:tcBorders>
              <w:top w:val="single" w:sz="4" w:space="0" w:color="auto"/>
              <w:left w:val="single" w:sz="4" w:space="0" w:color="auto"/>
              <w:righ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r>
      <w:tr w:rsidR="00B5351D" w:rsidRPr="00B117D2">
        <w:trPr>
          <w:trHeight w:val="302"/>
        </w:trPr>
        <w:tc>
          <w:tcPr>
            <w:tcW w:w="1670"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53" w:type="dxa"/>
            <w:gridSpan w:val="2"/>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469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сильними конкурентами є невеликі ринки</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38"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trPr>
          <w:trHeight w:val="581"/>
        </w:trPr>
        <w:tc>
          <w:tcPr>
            <w:tcW w:w="1670"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53" w:type="dxa"/>
            <w:gridSpan w:val="2"/>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469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незначний приріст попиту на товар суб’єкта підприємницької діяльності</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38" w:type="dxa"/>
            <w:gridSpan w:val="2"/>
            <w:tcBorders>
              <w:top w:val="single" w:sz="4" w:space="0" w:color="auto"/>
              <w:left w:val="single" w:sz="4" w:space="0" w:color="auto"/>
              <w:righ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r>
      <w:tr w:rsidR="00B5351D" w:rsidRPr="00B117D2" w:rsidTr="00B117D2">
        <w:trPr>
          <w:trHeight w:val="73"/>
        </w:trPr>
        <w:tc>
          <w:tcPr>
            <w:tcW w:w="1670"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53" w:type="dxa"/>
            <w:gridSpan w:val="2"/>
            <w:vMerge w:val="restart"/>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5.2. Конку рентні позиції досліджуваних суб’єктів бізнесу</w:t>
            </w:r>
          </w:p>
        </w:tc>
        <w:tc>
          <w:tcPr>
            <w:tcW w:w="469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вдале місце розташування суб’єкта бізнесу</w:t>
            </w:r>
          </w:p>
        </w:tc>
        <w:tc>
          <w:tcPr>
            <w:tcW w:w="552" w:type="dxa"/>
            <w:gridSpan w:val="2"/>
            <w:tcBorders>
              <w:top w:val="single" w:sz="4" w:space="0" w:color="auto"/>
              <w:lef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66"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38"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trPr>
          <w:trHeight w:val="307"/>
        </w:trPr>
        <w:tc>
          <w:tcPr>
            <w:tcW w:w="1670"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53" w:type="dxa"/>
            <w:gridSpan w:val="2"/>
            <w:vMerge/>
            <w:tcBorders>
              <w:left w:val="single" w:sz="4" w:space="0" w:color="auto"/>
            </w:tcBorders>
            <w:shd w:val="clear" w:color="auto" w:fill="FFFFFF"/>
            <w:vAlign w:val="bottom"/>
          </w:tcPr>
          <w:p w:rsidR="00B5351D" w:rsidRPr="00B117D2" w:rsidRDefault="00B5351D" w:rsidP="00B117D2">
            <w:pPr>
              <w:jc w:val="both"/>
              <w:rPr>
                <w:rFonts w:ascii="Times New Roman" w:hAnsi="Times New Roman" w:cs="Times New Roman"/>
                <w:sz w:val="22"/>
                <w:szCs w:val="22"/>
              </w:rPr>
            </w:pPr>
          </w:p>
        </w:tc>
        <w:tc>
          <w:tcPr>
            <w:tcW w:w="469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відсутність дослідження конкурентів</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c>
          <w:tcPr>
            <w:tcW w:w="538" w:type="dxa"/>
            <w:gridSpan w:val="2"/>
            <w:tcBorders>
              <w:top w:val="single" w:sz="4" w:space="0" w:color="auto"/>
              <w:left w:val="single" w:sz="4" w:space="0" w:color="auto"/>
              <w:righ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r>
      <w:tr w:rsidR="00B5351D" w:rsidRPr="00B117D2">
        <w:trPr>
          <w:trHeight w:val="576"/>
        </w:trPr>
        <w:tc>
          <w:tcPr>
            <w:tcW w:w="1670" w:type="dxa"/>
            <w:vMerge/>
            <w:tcBorders>
              <w:left w:val="single" w:sz="4" w:space="0" w:color="auto"/>
            </w:tcBorders>
            <w:shd w:val="clear" w:color="auto" w:fill="FFFFFF"/>
            <w:vAlign w:val="center"/>
          </w:tcPr>
          <w:p w:rsidR="00B5351D" w:rsidRPr="00B117D2" w:rsidRDefault="00B5351D" w:rsidP="00B117D2">
            <w:pPr>
              <w:jc w:val="both"/>
              <w:rPr>
                <w:rFonts w:ascii="Times New Roman" w:hAnsi="Times New Roman" w:cs="Times New Roman"/>
                <w:sz w:val="22"/>
                <w:szCs w:val="22"/>
              </w:rPr>
            </w:pPr>
          </w:p>
        </w:tc>
        <w:tc>
          <w:tcPr>
            <w:tcW w:w="1853" w:type="dxa"/>
            <w:gridSpan w:val="2"/>
            <w:vMerge/>
            <w:tcBorders>
              <w:left w:val="single" w:sz="4" w:space="0" w:color="auto"/>
            </w:tcBorders>
            <w:shd w:val="clear" w:color="auto" w:fill="FFFFFF"/>
            <w:vAlign w:val="bottom"/>
          </w:tcPr>
          <w:p w:rsidR="00B5351D" w:rsidRPr="00B117D2" w:rsidRDefault="00B5351D" w:rsidP="00B117D2">
            <w:pPr>
              <w:jc w:val="both"/>
              <w:rPr>
                <w:rFonts w:ascii="Times New Roman" w:hAnsi="Times New Roman" w:cs="Times New Roman"/>
                <w:sz w:val="22"/>
                <w:szCs w:val="22"/>
              </w:rPr>
            </w:pPr>
          </w:p>
        </w:tc>
        <w:tc>
          <w:tcPr>
            <w:tcW w:w="4690" w:type="dxa"/>
            <w:gridSpan w:val="2"/>
            <w:tcBorders>
              <w:top w:val="single" w:sz="4" w:space="0" w:color="auto"/>
              <w:left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 досліджувані конкуренти фактично не мають сильних конкурентних переваг</w:t>
            </w:r>
          </w:p>
        </w:tc>
        <w:tc>
          <w:tcPr>
            <w:tcW w:w="552"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66" w:type="dxa"/>
            <w:gridSpan w:val="2"/>
            <w:tcBorders>
              <w:top w:val="single" w:sz="4" w:space="0" w:color="auto"/>
              <w:left w:val="single" w:sz="4" w:space="0" w:color="auto"/>
            </w:tcBorders>
            <w:shd w:val="clear" w:color="auto" w:fill="FFFFFF"/>
          </w:tcPr>
          <w:p w:rsidR="00B5351D" w:rsidRPr="00B117D2" w:rsidRDefault="00B5351D" w:rsidP="00B117D2">
            <w:pPr>
              <w:jc w:val="both"/>
              <w:rPr>
                <w:rFonts w:ascii="Times New Roman" w:hAnsi="Times New Roman" w:cs="Times New Roman"/>
                <w:sz w:val="22"/>
                <w:szCs w:val="22"/>
              </w:rPr>
            </w:pPr>
          </w:p>
        </w:tc>
        <w:tc>
          <w:tcPr>
            <w:tcW w:w="538" w:type="dxa"/>
            <w:gridSpan w:val="2"/>
            <w:tcBorders>
              <w:top w:val="single" w:sz="4" w:space="0" w:color="auto"/>
              <w:left w:val="single" w:sz="4" w:space="0" w:color="auto"/>
              <w:righ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х</w:t>
            </w:r>
          </w:p>
        </w:tc>
      </w:tr>
      <w:tr w:rsidR="00B5351D" w:rsidRPr="00B117D2">
        <w:trPr>
          <w:trHeight w:val="571"/>
        </w:trPr>
        <w:tc>
          <w:tcPr>
            <w:tcW w:w="8213" w:type="dxa"/>
            <w:gridSpan w:val="5"/>
            <w:tcBorders>
              <w:top w:val="single" w:sz="4" w:space="0" w:color="auto"/>
              <w:left w:val="single" w:sz="4" w:space="0" w:color="auto"/>
              <w:bottom w:val="single" w:sz="4" w:space="0" w:color="auto"/>
            </w:tcBorders>
            <w:shd w:val="clear" w:color="auto" w:fill="FFFFFF"/>
            <w:vAlign w:val="bottom"/>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Середнє значення сили впливу інтенсивності конкуренції між існуючими суб’єктами підприємницької діяльності (І</w:t>
            </w:r>
            <w:r w:rsidRPr="00B117D2">
              <w:rPr>
                <w:rFonts w:ascii="Times New Roman" w:hAnsi="Times New Roman" w:cs="Times New Roman"/>
                <w:sz w:val="22"/>
                <w:szCs w:val="22"/>
                <w:vertAlign w:val="subscript"/>
              </w:rPr>
              <w:t>к</w:t>
            </w:r>
            <w:r w:rsidRPr="00B117D2">
              <w:rPr>
                <w:rFonts w:ascii="Times New Roman" w:hAnsi="Times New Roman" w:cs="Times New Roman"/>
                <w:sz w:val="22"/>
                <w:szCs w:val="22"/>
              </w:rPr>
              <w:t>)</w:t>
            </w:r>
          </w:p>
        </w:tc>
        <w:tc>
          <w:tcPr>
            <w:tcW w:w="165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5351D" w:rsidRPr="00B117D2" w:rsidRDefault="0032518A" w:rsidP="00B117D2">
            <w:pPr>
              <w:jc w:val="both"/>
              <w:rPr>
                <w:rFonts w:ascii="Times New Roman" w:hAnsi="Times New Roman" w:cs="Times New Roman"/>
                <w:sz w:val="22"/>
                <w:szCs w:val="22"/>
              </w:rPr>
            </w:pPr>
            <w:r w:rsidRPr="00B117D2">
              <w:rPr>
                <w:rFonts w:ascii="Times New Roman" w:hAnsi="Times New Roman" w:cs="Times New Roman"/>
                <w:sz w:val="22"/>
                <w:szCs w:val="22"/>
              </w:rPr>
              <w:t>2,42</w:t>
            </w:r>
          </w:p>
        </w:tc>
      </w:tr>
    </w:tbl>
    <w:p w:rsidR="00102A2E" w:rsidRDefault="00102A2E" w:rsidP="00102A2E">
      <w:pPr>
        <w:ind w:firstLine="360"/>
        <w:jc w:val="both"/>
        <w:rPr>
          <w:rFonts w:ascii="Times New Roman" w:hAnsi="Times New Roman" w:cs="Times New Roman"/>
        </w:rPr>
      </w:pP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Цінність моделі п’яти сил конкуренції полягає в тому, що вона допомагає визначити структуру цих сил та </w:t>
      </w:r>
      <w:r w:rsidRPr="00B117D2">
        <w:rPr>
          <w:rFonts w:ascii="Times New Roman" w:hAnsi="Times New Roman" w:cs="Times New Roman"/>
          <w:sz w:val="28"/>
          <w:szCs w:val="28"/>
          <w:lang w:val="ru-RU" w:eastAsia="ru-RU" w:bidi="ru-RU"/>
        </w:rPr>
        <w:t xml:space="preserve">характер </w:t>
      </w:r>
      <w:r w:rsidRPr="00B117D2">
        <w:rPr>
          <w:rFonts w:ascii="Times New Roman" w:hAnsi="Times New Roman" w:cs="Times New Roman"/>
          <w:sz w:val="28"/>
          <w:szCs w:val="28"/>
        </w:rPr>
        <w:t>конкурентної боротьби на ринку. Найбільш гостра конкуренція виникає в тому випадку, коли ці п’ять сил створюють жорсткі умови на ринку, забезпечуючи на перспективу субпаритетну прибутковість або однакову збитковість для більшості суб’єктів підприємницької діяльності.</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Для оцінювання впливу окремих факторів конкурентного середовища використовують 3-бальну шкалу, де 1 бал - слабкий вплив, 2 бали - помірний </w:t>
      </w:r>
      <w:r w:rsidR="00B117D2">
        <w:rPr>
          <w:rFonts w:ascii="Times New Roman" w:hAnsi="Times New Roman" w:cs="Times New Roman"/>
          <w:sz w:val="28"/>
          <w:szCs w:val="28"/>
        </w:rPr>
        <w:t xml:space="preserve"> </w:t>
      </w:r>
      <w:r w:rsidRPr="00B117D2">
        <w:rPr>
          <w:rFonts w:ascii="Times New Roman" w:hAnsi="Times New Roman" w:cs="Times New Roman"/>
          <w:sz w:val="28"/>
          <w:szCs w:val="28"/>
        </w:rPr>
        <w:t xml:space="preserve"> вплив і 3 бали - сильний вплив. За кожною конкурентною силою обчислюється середнє значення її впливу.</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За результатами експертного оцінювання конкурентних сил розраховують коефіцієнт загального впливу конкурентного середовища на діяльність суб’єкта бізнесу</w:t>
      </w:r>
      <w:r w:rsidR="00B117D2" w:rsidRPr="00B117D2">
        <w:rPr>
          <w:rFonts w:ascii="Times New Roman" w:hAnsi="Times New Roman" w:cs="Times New Roman"/>
          <w:sz w:val="28"/>
          <w:szCs w:val="28"/>
        </w:rPr>
        <w:t>.</w:t>
      </w:r>
      <w:r w:rsidRPr="00B117D2">
        <w:rPr>
          <w:rFonts w:ascii="Times New Roman" w:hAnsi="Times New Roman" w:cs="Times New Roman"/>
          <w:sz w:val="28"/>
          <w:szCs w:val="28"/>
        </w:rPr>
        <w:t xml:space="preserve"> </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Зазначимо вагомість впливу покупців на конкурентоспроможність суб’єкта підприємницької діяльності, оскільки залежно від її рівня конкурентне середовище може бути кваліфікованим як “ринок споживача” або “ринок виробника”.</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При цьому показник загального впливу конкурентного середовища менше 1,5 свідчить про максимально сприятливу ситуацію для розвитку суб’єкта підприємницької діяльності у конкурентному середовищі, мінімальний вплив конкурентних сил, тобто ситуацію, в якій ринкова позиція є близькою до монопольної.</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У межах від 1,5 до 2,0 конкурентне середовище суб’єкта підприємницької діяльності є олігополістичним, для якого характерна незначна кількість виробників однакового товару, існує дефіцит необхідної інформації, утруднений доступ до ресурсів.</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Свідчить про ринок монополістичної конкуренції значення коефіцієнта впливу у межах 2,0-2,5, а це передбачає, що продукція на ринку є диференційованою, ускладнює процес входу на ринок та виходу з нього, суб’єкта підприємницької діяльності мають можливість впливати на ціну продукції.</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Значення коефіцієнта загального впливу більше 2,5 вказує на несприятливу </w:t>
      </w:r>
      <w:r w:rsidRPr="00B117D2">
        <w:rPr>
          <w:rFonts w:ascii="Times New Roman" w:hAnsi="Times New Roman" w:cs="Times New Roman"/>
          <w:sz w:val="28"/>
          <w:szCs w:val="28"/>
        </w:rPr>
        <w:lastRenderedPageBreak/>
        <w:t>для розвитку суб’єкта підприємницької діяльності ринкову ситуацію з максимальним впливом конкурентних сил, що свідчить про тип ринку, близький до умов досконалої конкуренції.</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Таким чином, з погляду конкурентної ситуації в галузі та на ринку конкуренція може бути досконалою і недосконалою - монополістичною або олігополістичною, припиняючи своє існування у разі чистої монополії одного суб’єкта підприємницької діяльності (табл. 5). При цьому знання основних особливостей різних типів ринків і конкуренції важливе для методично усвідомленого й обґрунтованого створення конкурентного середовища суб’єкта підприємницької діяльності.</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За сучасних умов конкурентне середовище монополії і середовище досконалої конкуренції є досить радикальними моделями ринкової економіки та використовуються досить рідко. Отже, чим ефективніше функціонує ринок, чим сильніша на ньому конкуренція, тим більше значення має конкурентоспроможність суб’єкта підприємницької діяльності і його продукції.</w:t>
      </w:r>
    </w:p>
    <w:p w:rsidR="0032518A"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Таким чином, модель п’яти сил конкуренції </w:t>
      </w:r>
      <w:r w:rsidRPr="00B117D2">
        <w:rPr>
          <w:rFonts w:ascii="Times New Roman" w:hAnsi="Times New Roman" w:cs="Times New Roman"/>
          <w:sz w:val="28"/>
          <w:szCs w:val="28"/>
          <w:lang w:val="ru-RU" w:eastAsia="ru-RU" w:bidi="ru-RU"/>
        </w:rPr>
        <w:t xml:space="preserve">М. Портера </w:t>
      </w:r>
      <w:r w:rsidRPr="00B117D2">
        <w:rPr>
          <w:rFonts w:ascii="Times New Roman" w:hAnsi="Times New Roman" w:cs="Times New Roman"/>
          <w:sz w:val="28"/>
          <w:szCs w:val="28"/>
        </w:rPr>
        <w:t xml:space="preserve">характеризує динаміку конкурентної позиції суб’єкта підприємницької діяльності окремої галузі, визначаючи відповідність його внутрішнього стану дії сил зовнішнього середовища. </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Таблиця 5.</w:t>
      </w:r>
      <w:r w:rsidR="00B117D2">
        <w:rPr>
          <w:rFonts w:ascii="Times New Roman" w:hAnsi="Times New Roman" w:cs="Times New Roman"/>
          <w:sz w:val="28"/>
          <w:szCs w:val="28"/>
        </w:rPr>
        <w:t xml:space="preserve"> </w:t>
      </w:r>
      <w:r w:rsidRPr="00B117D2">
        <w:rPr>
          <w:rFonts w:ascii="Times New Roman" w:hAnsi="Times New Roman" w:cs="Times New Roman"/>
          <w:sz w:val="28"/>
          <w:szCs w:val="28"/>
        </w:rPr>
        <w:t xml:space="preserve">Порівняльна характеристика окремих видів конкуренції </w:t>
      </w:r>
    </w:p>
    <w:tbl>
      <w:tblPr>
        <w:tblOverlap w:val="never"/>
        <w:tblW w:w="0" w:type="auto"/>
        <w:tblLayout w:type="fixed"/>
        <w:tblCellMar>
          <w:left w:w="10" w:type="dxa"/>
          <w:right w:w="10" w:type="dxa"/>
        </w:tblCellMar>
        <w:tblLook w:val="04A0"/>
      </w:tblPr>
      <w:tblGrid>
        <w:gridCol w:w="1925"/>
        <w:gridCol w:w="2189"/>
        <w:gridCol w:w="2270"/>
        <w:gridCol w:w="1858"/>
        <w:gridCol w:w="1498"/>
      </w:tblGrid>
      <w:tr w:rsidR="00B5351D" w:rsidRPr="00102A2E">
        <w:trPr>
          <w:trHeight w:val="307"/>
        </w:trPr>
        <w:tc>
          <w:tcPr>
            <w:tcW w:w="1925" w:type="dxa"/>
            <w:vMerge w:val="restart"/>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Параметри</w:t>
            </w:r>
          </w:p>
        </w:tc>
        <w:tc>
          <w:tcPr>
            <w:tcW w:w="7815" w:type="dxa"/>
            <w:gridSpan w:val="4"/>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Види конкуренції</w:t>
            </w:r>
          </w:p>
        </w:tc>
      </w:tr>
      <w:tr w:rsidR="00B5351D" w:rsidRPr="00102A2E">
        <w:trPr>
          <w:trHeight w:val="619"/>
        </w:trPr>
        <w:tc>
          <w:tcPr>
            <w:tcW w:w="1925" w:type="dxa"/>
            <w:vMerge/>
            <w:tcBorders>
              <w:left w:val="single" w:sz="4" w:space="0" w:color="auto"/>
            </w:tcBorders>
            <w:shd w:val="clear" w:color="auto" w:fill="FFFFFF"/>
            <w:vAlign w:val="center"/>
          </w:tcPr>
          <w:p w:rsidR="00B5351D" w:rsidRPr="00102A2E" w:rsidRDefault="00B5351D" w:rsidP="00102A2E">
            <w:pPr>
              <w:jc w:val="both"/>
              <w:rPr>
                <w:rFonts w:ascii="Times New Roman" w:hAnsi="Times New Roman" w:cs="Times New Roman"/>
              </w:rPr>
            </w:pPr>
          </w:p>
        </w:tc>
        <w:tc>
          <w:tcPr>
            <w:tcW w:w="2189"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Досконала</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конкуренція</w:t>
            </w:r>
          </w:p>
        </w:tc>
        <w:tc>
          <w:tcPr>
            <w:tcW w:w="2270"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Монополі стична конкуренція</w:t>
            </w:r>
          </w:p>
        </w:tc>
        <w:tc>
          <w:tcPr>
            <w:tcW w:w="1858"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Олігополія</w:t>
            </w:r>
          </w:p>
        </w:tc>
        <w:tc>
          <w:tcPr>
            <w:tcW w:w="1498" w:type="dxa"/>
            <w:tcBorders>
              <w:top w:val="single" w:sz="4" w:space="0" w:color="auto"/>
              <w:left w:val="single" w:sz="4" w:space="0" w:color="auto"/>
              <w:righ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Монополія</w:t>
            </w:r>
          </w:p>
        </w:tc>
      </w:tr>
      <w:tr w:rsidR="00B5351D" w:rsidRPr="00102A2E">
        <w:trPr>
          <w:trHeight w:val="1142"/>
        </w:trPr>
        <w:tc>
          <w:tcPr>
            <w:tcW w:w="192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Кількість</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суб’єктів-</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виробників</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продукту</w:t>
            </w:r>
          </w:p>
        </w:tc>
        <w:tc>
          <w:tcPr>
            <w:tcW w:w="2189"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Багато незалежних суб’єкта підприємницької діяльності</w:t>
            </w:r>
          </w:p>
        </w:tc>
        <w:tc>
          <w:tcPr>
            <w:tcW w:w="2270"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Багато суб’єктів- виробників схожих товарів і послуг</w:t>
            </w:r>
          </w:p>
        </w:tc>
        <w:tc>
          <w:tcPr>
            <w:tcW w:w="1858"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Декілька вели</w:t>
            </w:r>
            <w:r w:rsidRPr="00102A2E">
              <w:rPr>
                <w:rFonts w:ascii="Times New Roman" w:hAnsi="Times New Roman" w:cs="Times New Roman"/>
              </w:rPr>
              <w:softHyphen/>
              <w:t>ких підприємств- виробників товарів і послуг</w:t>
            </w:r>
          </w:p>
        </w:tc>
        <w:tc>
          <w:tcPr>
            <w:tcW w:w="1498"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Один продукт і одне підпри</w:t>
            </w:r>
            <w:r w:rsidRPr="00102A2E">
              <w:rPr>
                <w:rFonts w:ascii="Times New Roman" w:hAnsi="Times New Roman" w:cs="Times New Roman"/>
              </w:rPr>
              <w:softHyphen/>
              <w:t>ємство</w:t>
            </w:r>
          </w:p>
        </w:tc>
      </w:tr>
      <w:tr w:rsidR="00B5351D" w:rsidRPr="00102A2E">
        <w:trPr>
          <w:trHeight w:val="998"/>
        </w:trPr>
        <w:tc>
          <w:tcPr>
            <w:tcW w:w="1925"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Контроль над цінами</w:t>
            </w:r>
          </w:p>
        </w:tc>
        <w:tc>
          <w:tcPr>
            <w:tcW w:w="2189"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Контролю немає. Ціни визначаються ринком</w:t>
            </w:r>
          </w:p>
        </w:tc>
        <w:tc>
          <w:tcPr>
            <w:tcW w:w="2270"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Вплив обмежений можливістю заміни</w:t>
            </w:r>
          </w:p>
        </w:tc>
        <w:tc>
          <w:tcPr>
            <w:tcW w:w="1858"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Існує вплив “цінового лідера”</w:t>
            </w:r>
          </w:p>
        </w:tc>
        <w:tc>
          <w:tcPr>
            <w:tcW w:w="1498"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Практично</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повний</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контроль</w:t>
            </w:r>
          </w:p>
        </w:tc>
      </w:tr>
      <w:tr w:rsidR="00B5351D" w:rsidRPr="00102A2E">
        <w:trPr>
          <w:trHeight w:val="1555"/>
        </w:trPr>
        <w:tc>
          <w:tcPr>
            <w:tcW w:w="1925"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Товарна</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диференціація</w:t>
            </w:r>
          </w:p>
        </w:tc>
        <w:tc>
          <w:tcPr>
            <w:tcW w:w="2189"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Відсутня продукція не відрізняється за властивостями та якістю</w:t>
            </w:r>
          </w:p>
        </w:tc>
        <w:tc>
          <w:tcPr>
            <w:tcW w:w="2270"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Товари і послуги диференційовані для сегментів ринку</w:t>
            </w:r>
          </w:p>
        </w:tc>
        <w:tc>
          <w:tcPr>
            <w:tcW w:w="1858"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Істотна для окре</w:t>
            </w:r>
            <w:r w:rsidRPr="00102A2E">
              <w:rPr>
                <w:rFonts w:ascii="Times New Roman" w:hAnsi="Times New Roman" w:cs="Times New Roman"/>
              </w:rPr>
              <w:softHyphen/>
              <w:t>мих видів про</w:t>
            </w:r>
            <w:r w:rsidRPr="00102A2E">
              <w:rPr>
                <w:rFonts w:ascii="Times New Roman" w:hAnsi="Times New Roman" w:cs="Times New Roman"/>
              </w:rPr>
              <w:softHyphen/>
              <w:t>дукції, недостатня для стандартизо</w:t>
            </w:r>
            <w:r w:rsidRPr="00102A2E">
              <w:rPr>
                <w:rFonts w:ascii="Times New Roman" w:hAnsi="Times New Roman" w:cs="Times New Roman"/>
              </w:rPr>
              <w:softHyphen/>
              <w:t>ваної</w:t>
            </w:r>
          </w:p>
        </w:tc>
        <w:tc>
          <w:tcPr>
            <w:tcW w:w="1498" w:type="dxa"/>
            <w:tcBorders>
              <w:top w:val="single" w:sz="4" w:space="0" w:color="auto"/>
              <w:left w:val="single" w:sz="4" w:space="0" w:color="auto"/>
              <w:righ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Відсутня</w:t>
            </w:r>
          </w:p>
        </w:tc>
      </w:tr>
      <w:tr w:rsidR="00B5351D" w:rsidRPr="00102A2E">
        <w:trPr>
          <w:trHeight w:val="1128"/>
        </w:trPr>
        <w:tc>
          <w:tcPr>
            <w:tcW w:w="1925" w:type="dxa"/>
            <w:tcBorders>
              <w:top w:val="single" w:sz="4" w:space="0" w:color="auto"/>
              <w:left w:val="single" w:sz="4" w:space="0" w:color="auto"/>
              <w:bottom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Рівень зусиль для входу на ринок</w:t>
            </w:r>
          </w:p>
        </w:tc>
        <w:tc>
          <w:tcPr>
            <w:tcW w:w="2189" w:type="dxa"/>
            <w:tcBorders>
              <w:top w:val="single" w:sz="4" w:space="0" w:color="auto"/>
              <w:left w:val="single" w:sz="4" w:space="0" w:color="auto"/>
              <w:bottom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Відносно легкий вхід і вихід</w:t>
            </w:r>
          </w:p>
        </w:tc>
        <w:tc>
          <w:tcPr>
            <w:tcW w:w="2270" w:type="dxa"/>
            <w:tcBorders>
              <w:top w:val="single" w:sz="4" w:space="0" w:color="auto"/>
              <w:left w:val="single" w:sz="4" w:space="0" w:color="auto"/>
              <w:bottom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Відносно легкий вхід і вихід</w:t>
            </w:r>
          </w:p>
        </w:tc>
        <w:tc>
          <w:tcPr>
            <w:tcW w:w="1858"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Важкий вхід, що часто вимагає великих інвестицій</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Дуже важкий вхід і вихід</w:t>
            </w:r>
          </w:p>
        </w:tc>
      </w:tr>
    </w:tbl>
    <w:p w:rsidR="0032518A" w:rsidRPr="00102A2E" w:rsidRDefault="0032518A" w:rsidP="00102A2E">
      <w:pPr>
        <w:tabs>
          <w:tab w:val="left" w:pos="642"/>
        </w:tabs>
        <w:jc w:val="both"/>
        <w:rPr>
          <w:rFonts w:ascii="Times New Roman" w:hAnsi="Times New Roman" w:cs="Times New Roman"/>
          <w:lang w:val="en-US"/>
        </w:rPr>
      </w:pPr>
    </w:p>
    <w:p w:rsidR="0032518A" w:rsidRPr="00102A2E" w:rsidRDefault="0032518A" w:rsidP="00102A2E">
      <w:pPr>
        <w:tabs>
          <w:tab w:val="left" w:pos="642"/>
        </w:tabs>
        <w:jc w:val="both"/>
        <w:rPr>
          <w:rFonts w:ascii="Times New Roman" w:hAnsi="Times New Roman" w:cs="Times New Roman"/>
          <w:lang w:val="en-US"/>
        </w:rPr>
      </w:pPr>
    </w:p>
    <w:p w:rsidR="00B117D2" w:rsidRDefault="00B117D2" w:rsidP="00102A2E">
      <w:pPr>
        <w:tabs>
          <w:tab w:val="left" w:pos="642"/>
        </w:tabs>
        <w:jc w:val="both"/>
        <w:rPr>
          <w:rFonts w:ascii="Times New Roman" w:hAnsi="Times New Roman" w:cs="Times New Roman"/>
        </w:rPr>
      </w:pPr>
    </w:p>
    <w:p w:rsidR="00B117D2" w:rsidRPr="00B117D2" w:rsidRDefault="0032518A" w:rsidP="00B117D2">
      <w:pPr>
        <w:tabs>
          <w:tab w:val="left" w:pos="642"/>
        </w:tabs>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lastRenderedPageBreak/>
        <w:t xml:space="preserve">4. Оцінювання інтенсивності конкуренції та ступеня монополізації ринку </w:t>
      </w:r>
    </w:p>
    <w:p w:rsidR="00B5351D" w:rsidRPr="00B117D2" w:rsidRDefault="0032518A" w:rsidP="00B117D2">
      <w:pPr>
        <w:tabs>
          <w:tab w:val="left" w:pos="642"/>
        </w:tabs>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Інтенсивність конкуренції - це ступінь протидії конкурентів у боротьбі за споживачів і нові ринкові ніші. Інтенсивність конкуренції проявляється в тому, наскільки ефективно суб’єкта підприємницької діяльності використовують наявні в їх розпорядженні засоби конкурентної боротьби, зокрема більш низькі ціни, поліпшені характеристики товару, більш високий рівень обслуговування споживачів, випуск нових товарів тощо.</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Конкуренція в галузі вважається інтенсивною, якщо дії підприємств- конкурентів знижують середній прибуток у галузі, прийнятною - якщо більшість суб’єктів підприємницької діяльності одержують цілком помірний прибуток, і слабкою - якщо значна частина суб’єктів підприємницької діяльності галузі може одержувати прибуток вищий за середній.</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Існує достатня кількість різноманітних методик оцінювання інтенсивності конкуренції та ступеня монополізації ринку і, як наслідок, визначення типу конкурентної ситуації на цьому ринку (табл. 6).</w:t>
      </w:r>
    </w:p>
    <w:p w:rsidR="0032518A" w:rsidRPr="00B117D2" w:rsidRDefault="0032518A" w:rsidP="00B117D2">
      <w:pPr>
        <w:tabs>
          <w:tab w:val="left" w:pos="2887"/>
        </w:tabs>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Найбільша конкурентна активність спостерігається, коли конкуренти володіють приблизно однаковими частками ринку. Так, за допомогою коефіцієнта варіації інтенсивність конкуренції на ринку визначається за допомогою міри схожості ринкових часток конкурентів. При цьому інтенсивність конкуренції тим вища, чим нижчий коефіцієнт варіації ринкових часток. І навпаки: якщо значення коефіцієнта буде високим, а це</w:t>
      </w:r>
      <w:r w:rsidR="00B117D2">
        <w:rPr>
          <w:rFonts w:ascii="Times New Roman" w:hAnsi="Times New Roman" w:cs="Times New Roman"/>
          <w:sz w:val="28"/>
          <w:szCs w:val="28"/>
        </w:rPr>
        <w:t xml:space="preserve"> </w:t>
      </w:r>
      <w:r w:rsidRPr="00B117D2">
        <w:rPr>
          <w:rFonts w:ascii="Times New Roman" w:hAnsi="Times New Roman" w:cs="Times New Roman"/>
          <w:sz w:val="28"/>
          <w:szCs w:val="28"/>
        </w:rPr>
        <w:t>засвідчуватиме очевидне існування лідерів і аутсайдерів у галузі, то інтенсивність конкурентної боротьби буде низькою (значення І</w:t>
      </w:r>
      <w:r w:rsidRPr="00B117D2">
        <w:rPr>
          <w:rFonts w:ascii="Times New Roman" w:hAnsi="Times New Roman" w:cs="Times New Roman"/>
          <w:sz w:val="28"/>
          <w:szCs w:val="28"/>
          <w:vertAlign w:val="subscript"/>
        </w:rPr>
        <w:t>Ч</w:t>
      </w:r>
      <w:r w:rsidRPr="00B117D2">
        <w:rPr>
          <w:rFonts w:ascii="Times New Roman" w:hAnsi="Times New Roman" w:cs="Times New Roman"/>
          <w:sz w:val="28"/>
          <w:szCs w:val="28"/>
        </w:rPr>
        <w:t xml:space="preserve"> наближається до нуля). </w:t>
      </w:r>
    </w:p>
    <w:p w:rsidR="0032518A"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Таблиця 6</w:t>
      </w:r>
      <w:r w:rsidR="00B117D2">
        <w:rPr>
          <w:rFonts w:ascii="Times New Roman" w:hAnsi="Times New Roman" w:cs="Times New Roman"/>
          <w:sz w:val="28"/>
          <w:szCs w:val="28"/>
        </w:rPr>
        <w:t xml:space="preserve"> </w:t>
      </w:r>
      <w:r w:rsidRPr="00B117D2">
        <w:rPr>
          <w:rFonts w:ascii="Times New Roman" w:hAnsi="Times New Roman" w:cs="Times New Roman"/>
          <w:sz w:val="28"/>
          <w:szCs w:val="28"/>
        </w:rPr>
        <w:t>Показники інтенсивності конкурентного середовища та ступеня</w:t>
      </w:r>
      <w:r w:rsidR="00B117D2">
        <w:rPr>
          <w:rFonts w:ascii="Times New Roman" w:hAnsi="Times New Roman" w:cs="Times New Roman"/>
          <w:sz w:val="28"/>
          <w:szCs w:val="28"/>
        </w:rPr>
        <w:t xml:space="preserve"> </w:t>
      </w:r>
      <w:r w:rsidRPr="00B117D2">
        <w:rPr>
          <w:rFonts w:ascii="Times New Roman" w:hAnsi="Times New Roman" w:cs="Times New Roman"/>
          <w:sz w:val="28"/>
          <w:szCs w:val="28"/>
        </w:rPr>
        <w:t>монополізації ринку</w:t>
      </w:r>
    </w:p>
    <w:p w:rsidR="0032518A" w:rsidRPr="00102A2E" w:rsidRDefault="0032518A" w:rsidP="00102A2E">
      <w:pPr>
        <w:jc w:val="both"/>
        <w:rPr>
          <w:rFonts w:ascii="Times New Roman" w:hAnsi="Times New Roman" w:cs="Times New Roman"/>
          <w:sz w:val="2"/>
          <w:szCs w:val="2"/>
        </w:rPr>
      </w:pPr>
      <w:r w:rsidRPr="00102A2E">
        <w:rPr>
          <w:rFonts w:ascii="Times New Roman" w:hAnsi="Times New Roman" w:cs="Times New Roman"/>
          <w:noProof/>
          <w:lang w:val="ru-RU" w:eastAsia="zh-CN" w:bidi="ar-SA"/>
        </w:rPr>
        <w:lastRenderedPageBreak/>
        <w:drawing>
          <wp:inline distT="0" distB="0" distL="0" distR="0">
            <wp:extent cx="6252541" cy="6758609"/>
            <wp:effectExtent l="19050" t="0" r="0" b="0"/>
            <wp:docPr id="232" name="Рисунок 232" descr="C:\Temp\FineReader11.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Temp\FineReader11.00\media\image1.png"/>
                    <pic:cNvPicPr>
                      <a:picLocks noChangeAspect="1" noChangeArrowheads="1"/>
                    </pic:cNvPicPr>
                  </pic:nvPicPr>
                  <pic:blipFill>
                    <a:blip r:embed="rId6"/>
                    <a:srcRect/>
                    <a:stretch>
                      <a:fillRect/>
                    </a:stretch>
                  </pic:blipFill>
                  <pic:spPr bwMode="auto">
                    <a:xfrm>
                      <a:off x="0" y="0"/>
                      <a:ext cx="6257290" cy="6763742"/>
                    </a:xfrm>
                    <a:prstGeom prst="rect">
                      <a:avLst/>
                    </a:prstGeom>
                    <a:noFill/>
                    <a:ln w="9525">
                      <a:noFill/>
                      <a:miter lim="800000"/>
                      <a:headEnd/>
                      <a:tailEnd/>
                    </a:ln>
                  </pic:spPr>
                </pic:pic>
              </a:graphicData>
            </a:graphic>
          </wp:inline>
        </w:drawing>
      </w:r>
    </w:p>
    <w:p w:rsidR="0032518A" w:rsidRPr="00102A2E" w:rsidRDefault="0032518A" w:rsidP="00102A2E">
      <w:pPr>
        <w:jc w:val="both"/>
        <w:rPr>
          <w:rFonts w:ascii="Times New Roman" w:hAnsi="Times New Roman" w:cs="Times New Roman"/>
          <w:sz w:val="2"/>
          <w:szCs w:val="2"/>
        </w:rPr>
      </w:pPr>
      <w:r w:rsidRPr="00102A2E">
        <w:rPr>
          <w:rFonts w:ascii="Times New Roman" w:hAnsi="Times New Roman" w:cs="Times New Roman"/>
          <w:noProof/>
          <w:lang w:val="ru-RU" w:eastAsia="zh-CN" w:bidi="ar-SA"/>
        </w:rPr>
        <w:drawing>
          <wp:inline distT="0" distB="0" distL="0" distR="0">
            <wp:extent cx="6279515" cy="1894840"/>
            <wp:effectExtent l="19050" t="0" r="6985" b="0"/>
            <wp:docPr id="233" name="Рисунок 233" descr="C:\Temp\FineReader11.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Temp\FineReader11.00\media\image2.png"/>
                    <pic:cNvPicPr>
                      <a:picLocks noChangeAspect="1" noChangeArrowheads="1"/>
                    </pic:cNvPicPr>
                  </pic:nvPicPr>
                  <pic:blipFill>
                    <a:blip r:embed="rId7"/>
                    <a:srcRect/>
                    <a:stretch>
                      <a:fillRect/>
                    </a:stretch>
                  </pic:blipFill>
                  <pic:spPr bwMode="auto">
                    <a:xfrm>
                      <a:off x="0" y="0"/>
                      <a:ext cx="6279515" cy="1894840"/>
                    </a:xfrm>
                    <a:prstGeom prst="rect">
                      <a:avLst/>
                    </a:prstGeom>
                    <a:noFill/>
                    <a:ln w="9525">
                      <a:noFill/>
                      <a:miter lim="800000"/>
                      <a:headEnd/>
                      <a:tailEnd/>
                    </a:ln>
                  </pic:spPr>
                </pic:pic>
              </a:graphicData>
            </a:graphic>
          </wp:inline>
        </w:drawing>
      </w:r>
    </w:p>
    <w:p w:rsidR="00102A2E" w:rsidRDefault="00102A2E" w:rsidP="00102A2E">
      <w:pPr>
        <w:ind w:firstLine="360"/>
        <w:jc w:val="both"/>
        <w:rPr>
          <w:rFonts w:ascii="Times New Roman" w:hAnsi="Times New Roman" w:cs="Times New Roman"/>
        </w:rPr>
      </w:pPr>
    </w:p>
    <w:p w:rsidR="0032518A"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Якщо середньоарифметичне значення часток всієї сукупності суб’єктів </w:t>
      </w:r>
      <w:r w:rsidRPr="00B117D2">
        <w:rPr>
          <w:rFonts w:ascii="Times New Roman" w:hAnsi="Times New Roman" w:cs="Times New Roman"/>
          <w:sz w:val="28"/>
          <w:szCs w:val="28"/>
        </w:rPr>
        <w:lastRenderedPageBreak/>
        <w:t xml:space="preserve">підприємницької діяльності залежить тільки від їх кількості на певному ринку </w:t>
      </w:r>
      <w:r w:rsidRPr="00B117D2">
        <w:rPr>
          <w:rFonts w:ascii="Times New Roman" w:hAnsi="Times New Roman" w:cs="Times New Roman"/>
          <w:sz w:val="28"/>
          <w:szCs w:val="28"/>
          <w:lang w:val="en-US" w:eastAsia="en-US" w:bidi="en-US"/>
        </w:rPr>
        <w:t>(n)</w:t>
      </w:r>
      <w:r w:rsidRPr="00B117D2">
        <w:rPr>
          <w:rFonts w:ascii="Times New Roman" w:hAnsi="Times New Roman" w:cs="Times New Roman"/>
          <w:sz w:val="28"/>
          <w:szCs w:val="28"/>
        </w:rPr>
        <w:t>, то, відповідно, розраховується за формулою.</w:t>
      </w:r>
    </w:p>
    <w:p w:rsidR="0032518A" w:rsidRPr="00B117D2" w:rsidRDefault="0032518A" w:rsidP="00B117D2">
      <w:pPr>
        <w:tabs>
          <w:tab w:val="right" w:pos="9767"/>
        </w:tabs>
        <w:spacing w:line="288" w:lineRule="auto"/>
        <w:ind w:firstLine="709"/>
        <w:jc w:val="center"/>
        <w:rPr>
          <w:rFonts w:ascii="Times New Roman" w:hAnsi="Times New Roman" w:cs="Times New Roman"/>
          <w:sz w:val="28"/>
          <w:szCs w:val="28"/>
        </w:rPr>
      </w:pPr>
      <w:r w:rsidRPr="00B117D2">
        <w:rPr>
          <w:rFonts w:ascii="Times New Roman" w:hAnsi="Times New Roman" w:cs="Times New Roman"/>
          <w:sz w:val="28"/>
          <w:szCs w:val="28"/>
        </w:rPr>
        <w:t>Ч</w:t>
      </w:r>
      <w:r w:rsidRPr="00B117D2">
        <w:rPr>
          <w:rFonts w:ascii="Times New Roman" w:hAnsi="Times New Roman" w:cs="Times New Roman"/>
          <w:sz w:val="28"/>
          <w:szCs w:val="28"/>
          <w:vertAlign w:val="subscript"/>
        </w:rPr>
        <w:t>с</w:t>
      </w:r>
      <w:r w:rsidRPr="00B117D2">
        <w:rPr>
          <w:rFonts w:ascii="Times New Roman" w:hAnsi="Times New Roman" w:cs="Times New Roman"/>
          <w:sz w:val="28"/>
          <w:szCs w:val="28"/>
        </w:rPr>
        <w:t>,</w:t>
      </w:r>
      <w:r w:rsidRPr="00B117D2">
        <w:rPr>
          <w:rFonts w:ascii="Times New Roman" w:hAnsi="Times New Roman" w:cs="Times New Roman"/>
          <w:sz w:val="28"/>
          <w:szCs w:val="28"/>
          <w:vertAlign w:val="subscript"/>
        </w:rPr>
        <w:t>г</w:t>
      </w:r>
      <w:r w:rsidRPr="00B117D2">
        <w:rPr>
          <w:rFonts w:ascii="Times New Roman" w:hAnsi="Times New Roman" w:cs="Times New Roman"/>
          <w:sz w:val="28"/>
          <w:szCs w:val="28"/>
        </w:rPr>
        <w:t xml:space="preserve"> = </w:t>
      </w:r>
      <w:r w:rsidRPr="00B117D2">
        <w:rPr>
          <w:rFonts w:ascii="Times New Roman" w:hAnsi="Times New Roman" w:cs="Times New Roman"/>
          <w:sz w:val="28"/>
          <w:szCs w:val="28"/>
          <w:lang w:val="en-US"/>
        </w:rPr>
        <w:t>1/n</w:t>
      </w:r>
      <w:r w:rsidRPr="00B117D2">
        <w:rPr>
          <w:rFonts w:ascii="Times New Roman" w:hAnsi="Times New Roman" w:cs="Times New Roman"/>
          <w:sz w:val="28"/>
          <w:szCs w:val="28"/>
        </w:rPr>
        <w:t>.</w:t>
      </w:r>
    </w:p>
    <w:p w:rsidR="0032518A"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Також інтенсивність конкуренції залежить від рентабельності ринку, при високому значенні якої попит перевищує пропозицію. Ця обставина дозволяє реалізувати цілі, які стоять перед суб’єктами підприємницької діяльності, відносно безконфліктними прийомами й методами, що не зачіпають інтереси конкурентів. І з зменшенням прибутковості бізнесу ситуація змінюється на протилежну, і конкуренція змінюється, та стає недосконалою - монополістичною або олігополістичною.</w:t>
      </w:r>
    </w:p>
    <w:p w:rsidR="0032518A"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Зазначимо, що збільшення ринкових часток суб’єктів підприємницької діяльності відбувається не лише за рахунок конкурентів, а й за рахунок збільшення кількості споживачів або обсягів покупок вже існуючими споживачами. При цьому головна складність оцінювання інтенсивності конкуренції полягає в неоднозначності розрахунку граничних значень темпів зростання, за межами яких інтенсивність мінімальна (зона значень темпів зростання, більших за 100%) або наближається до максимуму (значення темпів зростання, менших за 100%). Практика бізнесу свідчить про те, що більшість ситуацій, які описують динаміку ринків конкретної продукції, можна обмежити двома граничними значеннями річних темпів зростання обсягів реалізації - 70% і 140%. Отже, загальна схема визначення інтенсивності конкуренції залежно від темпу зростання обсягів реалізації продукції на ринку (І</w:t>
      </w:r>
      <w:r w:rsidRPr="00B117D2">
        <w:rPr>
          <w:rFonts w:ascii="Times New Roman" w:hAnsi="Times New Roman" w:cs="Times New Roman"/>
          <w:sz w:val="28"/>
          <w:szCs w:val="28"/>
          <w:vertAlign w:val="subscript"/>
        </w:rPr>
        <w:t>ТР</w:t>
      </w:r>
      <w:r w:rsidRPr="00B117D2">
        <w:rPr>
          <w:rFonts w:ascii="Times New Roman" w:hAnsi="Times New Roman" w:cs="Times New Roman"/>
          <w:sz w:val="28"/>
          <w:szCs w:val="28"/>
        </w:rPr>
        <w:t>) буде мати вигляд, як формула .</w:t>
      </w:r>
    </w:p>
    <w:p w:rsidR="0032518A" w:rsidRPr="00B117D2" w:rsidRDefault="0032518A" w:rsidP="00B117D2">
      <w:pPr>
        <w:spacing w:line="288" w:lineRule="auto"/>
        <w:ind w:firstLine="709"/>
        <w:jc w:val="both"/>
        <w:rPr>
          <w:rFonts w:ascii="Times New Roman" w:hAnsi="Times New Roman" w:cs="Times New Roman"/>
          <w:sz w:val="28"/>
          <w:szCs w:val="28"/>
        </w:rPr>
      </w:pPr>
    </w:p>
    <w:p w:rsidR="0032518A" w:rsidRPr="00102A2E" w:rsidRDefault="0032518A" w:rsidP="00B117D2">
      <w:pPr>
        <w:ind w:firstLine="360"/>
        <w:jc w:val="center"/>
        <w:rPr>
          <w:rFonts w:ascii="Times New Roman" w:hAnsi="Times New Roman" w:cs="Times New Roman"/>
          <w:lang w:val="en-US"/>
        </w:rPr>
      </w:pPr>
      <w:r w:rsidRPr="00102A2E">
        <w:rPr>
          <w:rFonts w:ascii="Times New Roman" w:hAnsi="Times New Roman" w:cs="Times New Roman"/>
          <w:noProof/>
          <w:lang w:val="ru-RU" w:eastAsia="zh-CN" w:bidi="ar-SA"/>
        </w:rPr>
        <w:drawing>
          <wp:inline distT="0" distB="0" distL="0" distR="0">
            <wp:extent cx="3933190" cy="760095"/>
            <wp:effectExtent l="19050" t="0" r="0" b="0"/>
            <wp:docPr id="5" name="Рисунок 5" descr="C:\Temp\FineReader11.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Temp\FineReader11.00\media\image3.png"/>
                    <pic:cNvPicPr>
                      <a:picLocks noChangeAspect="1" noChangeArrowheads="1"/>
                    </pic:cNvPicPr>
                  </pic:nvPicPr>
                  <pic:blipFill>
                    <a:blip r:embed="rId8"/>
                    <a:srcRect/>
                    <a:stretch>
                      <a:fillRect/>
                    </a:stretch>
                  </pic:blipFill>
                  <pic:spPr bwMode="auto">
                    <a:xfrm>
                      <a:off x="0" y="0"/>
                      <a:ext cx="3933190" cy="760095"/>
                    </a:xfrm>
                    <a:prstGeom prst="rect">
                      <a:avLst/>
                    </a:prstGeom>
                    <a:noFill/>
                    <a:ln w="9525">
                      <a:noFill/>
                      <a:miter lim="800000"/>
                      <a:headEnd/>
                      <a:tailEnd/>
                    </a:ln>
                  </pic:spPr>
                </pic:pic>
              </a:graphicData>
            </a:graphic>
          </wp:inline>
        </w:drawing>
      </w:r>
    </w:p>
    <w:p w:rsidR="0032518A"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Зауважимо, що значення Т</w:t>
      </w:r>
      <w:r w:rsidRPr="00B117D2">
        <w:rPr>
          <w:rFonts w:ascii="Times New Roman" w:hAnsi="Times New Roman" w:cs="Times New Roman"/>
          <w:sz w:val="28"/>
          <w:szCs w:val="28"/>
          <w:vertAlign w:val="subscript"/>
        </w:rPr>
        <w:t>р</w:t>
      </w:r>
      <w:r w:rsidRPr="00B117D2">
        <w:rPr>
          <w:rFonts w:ascii="Times New Roman" w:hAnsi="Times New Roman" w:cs="Times New Roman"/>
          <w:sz w:val="28"/>
          <w:szCs w:val="28"/>
        </w:rPr>
        <w:t xml:space="preserve"> менше 70% характерне для класу ситуацій, пов’язаних з припиненням реалізації досліджуваної продукції або і з значними економічними потрясіннями ринку.</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Коефіцієнт концентрації дозволяє не тільки зіставити рівні концентрації різних галузей або ринків, а й проаналізувати їх динаміку, встановити, за</w:t>
      </w:r>
      <w:r w:rsidRPr="00B117D2">
        <w:rPr>
          <w:rFonts w:ascii="Times New Roman" w:hAnsi="Times New Roman" w:cs="Times New Roman"/>
          <w:sz w:val="28"/>
          <w:szCs w:val="28"/>
          <w:lang w:val="en-US"/>
        </w:rPr>
        <w:t xml:space="preserve"> </w:t>
      </w:r>
      <w:r w:rsidRPr="00B117D2">
        <w:rPr>
          <w:rFonts w:ascii="Times New Roman" w:hAnsi="Times New Roman" w:cs="Times New Roman"/>
          <w:sz w:val="28"/>
          <w:szCs w:val="28"/>
        </w:rPr>
        <w:t>рахунок частки яких суб’єктів підприємницької діяльності (великих, середніх або дрібних) передбачається перегрупування ринкової влади. Істотний недолік показника концентрації полягає в його “нечутливості” до різних варіантів розподілу часток між конкурентами.</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Індекс Герфіндаля-Гіршмана є найбільш популярним узагальнюючим </w:t>
      </w:r>
      <w:r w:rsidRPr="00B117D2">
        <w:rPr>
          <w:rFonts w:ascii="Times New Roman" w:hAnsi="Times New Roman" w:cs="Times New Roman"/>
          <w:sz w:val="28"/>
          <w:szCs w:val="28"/>
        </w:rPr>
        <w:lastRenderedPageBreak/>
        <w:t>показником, який враховує як чисельність суб’єктів підприємницької діяльності, так і нерівність їх положення на ринку, характеризує рівень монополізації. Значення коефіцієнта знижується зі збільшенням кількості суб’єктів підприємницької діяльності і зростає з посиленням нерівності між ними при будь-якій їх кількості. При зведенні до квадрату частки ринку коефіцієнт встановлює більш значущими показники великих підприємств, ніж дрібних. Це означає, що якщо точні дані про частки ринку дуже малих підприємств відсутні, то підсумкова похибка не буде великою.</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Чим менший індекс, тим менша концентрація, тим за інших рівних умов сильніша конкуренція на певному ринку і тим слабшою є ринкова влада окремих суб’єктів підприємницької діяльності. Для конкурентного ринку (якщо число суб’єктів підприємницької діяльності на ньому перевищує 100) індекс наближатиметься до одиниці, для монопольного ринку - до 10000.</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Відповідно до різниці значень коефіцієнта концентрації та індексу Герфіндаля-Гіршмана виокремлюються три типи ринку за ступенем концентрації (табл. 7).</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Таблиця 7</w:t>
      </w:r>
      <w:r w:rsidR="00B117D2">
        <w:rPr>
          <w:rFonts w:ascii="Times New Roman" w:hAnsi="Times New Roman" w:cs="Times New Roman"/>
          <w:sz w:val="28"/>
          <w:szCs w:val="28"/>
        </w:rPr>
        <w:t xml:space="preserve"> </w:t>
      </w:r>
      <w:r w:rsidRPr="00B117D2">
        <w:rPr>
          <w:rFonts w:ascii="Times New Roman" w:hAnsi="Times New Roman" w:cs="Times New Roman"/>
          <w:sz w:val="28"/>
          <w:szCs w:val="28"/>
        </w:rPr>
        <w:t xml:space="preserve">Характеристика типів ринків за ступенем концентрації </w:t>
      </w:r>
    </w:p>
    <w:tbl>
      <w:tblPr>
        <w:tblOverlap w:val="never"/>
        <w:tblW w:w="0" w:type="auto"/>
        <w:tblLayout w:type="fixed"/>
        <w:tblCellMar>
          <w:left w:w="10" w:type="dxa"/>
          <w:right w:w="10" w:type="dxa"/>
        </w:tblCellMar>
        <w:tblLook w:val="04A0"/>
      </w:tblPr>
      <w:tblGrid>
        <w:gridCol w:w="2894"/>
        <w:gridCol w:w="2218"/>
        <w:gridCol w:w="2290"/>
        <w:gridCol w:w="2462"/>
      </w:tblGrid>
      <w:tr w:rsidR="00B5351D" w:rsidRPr="00102A2E">
        <w:trPr>
          <w:trHeight w:val="293"/>
        </w:trPr>
        <w:tc>
          <w:tcPr>
            <w:tcW w:w="2894" w:type="dxa"/>
            <w:vMerge w:val="restart"/>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Показники</w:t>
            </w:r>
          </w:p>
        </w:tc>
        <w:tc>
          <w:tcPr>
            <w:tcW w:w="6970"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Типи ринків</w:t>
            </w:r>
          </w:p>
        </w:tc>
      </w:tr>
      <w:tr w:rsidR="00B5351D" w:rsidRPr="00102A2E">
        <w:trPr>
          <w:trHeight w:val="562"/>
        </w:trPr>
        <w:tc>
          <w:tcPr>
            <w:tcW w:w="2894" w:type="dxa"/>
            <w:vMerge/>
            <w:tcBorders>
              <w:left w:val="single" w:sz="4" w:space="0" w:color="auto"/>
            </w:tcBorders>
            <w:shd w:val="clear" w:color="auto" w:fill="FFFFFF"/>
            <w:vAlign w:val="center"/>
          </w:tcPr>
          <w:p w:rsidR="00B5351D" w:rsidRPr="00102A2E" w:rsidRDefault="00B5351D" w:rsidP="00102A2E">
            <w:pPr>
              <w:jc w:val="both"/>
              <w:rPr>
                <w:rFonts w:ascii="Times New Roman" w:hAnsi="Times New Roman" w:cs="Times New Roman"/>
              </w:rPr>
            </w:pPr>
          </w:p>
        </w:tc>
        <w:tc>
          <w:tcPr>
            <w:tcW w:w="2218"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Високо-</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концентрований</w:t>
            </w:r>
          </w:p>
        </w:tc>
        <w:tc>
          <w:tcPr>
            <w:tcW w:w="2290"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Помірно</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концентрований</w:t>
            </w:r>
          </w:p>
        </w:tc>
        <w:tc>
          <w:tcPr>
            <w:tcW w:w="2462"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Низько-</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концентрований</w:t>
            </w:r>
          </w:p>
        </w:tc>
      </w:tr>
      <w:tr w:rsidR="00B5351D" w:rsidRPr="00102A2E">
        <w:trPr>
          <w:trHeight w:val="288"/>
        </w:trPr>
        <w:tc>
          <w:tcPr>
            <w:tcW w:w="2894"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Коефіцієнт концентрації</w:t>
            </w:r>
          </w:p>
        </w:tc>
        <w:tc>
          <w:tcPr>
            <w:tcW w:w="2218"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70 &lt; К</w:t>
            </w:r>
            <w:r w:rsidRPr="00102A2E">
              <w:rPr>
                <w:rFonts w:ascii="Times New Roman" w:hAnsi="Times New Roman" w:cs="Times New Roman"/>
                <w:vertAlign w:val="subscript"/>
              </w:rPr>
              <w:t>К</w:t>
            </w:r>
            <w:r w:rsidRPr="00102A2E">
              <w:rPr>
                <w:rFonts w:ascii="Times New Roman" w:hAnsi="Times New Roman" w:cs="Times New Roman"/>
              </w:rPr>
              <w:t xml:space="preserve"> &lt; 100</w:t>
            </w:r>
          </w:p>
        </w:tc>
        <w:tc>
          <w:tcPr>
            <w:tcW w:w="2290"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45 &lt; К</w:t>
            </w:r>
            <w:r w:rsidRPr="00102A2E">
              <w:rPr>
                <w:rFonts w:ascii="Times New Roman" w:hAnsi="Times New Roman" w:cs="Times New Roman"/>
                <w:vertAlign w:val="subscript"/>
              </w:rPr>
              <w:t>К</w:t>
            </w:r>
            <w:r w:rsidRPr="00102A2E">
              <w:rPr>
                <w:rFonts w:ascii="Times New Roman" w:hAnsi="Times New Roman" w:cs="Times New Roman"/>
              </w:rPr>
              <w:t xml:space="preserve"> &lt; 70</w:t>
            </w:r>
          </w:p>
        </w:tc>
        <w:tc>
          <w:tcPr>
            <w:tcW w:w="2462"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Кк &lt; 45</w:t>
            </w:r>
          </w:p>
        </w:tc>
      </w:tr>
      <w:tr w:rsidR="00B5351D" w:rsidRPr="00102A2E">
        <w:trPr>
          <w:trHeight w:val="571"/>
        </w:trPr>
        <w:tc>
          <w:tcPr>
            <w:tcW w:w="2894"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Індекс Герфіндаля- Гіршмана</w:t>
            </w:r>
          </w:p>
        </w:tc>
        <w:tc>
          <w:tcPr>
            <w:tcW w:w="2218" w:type="dxa"/>
            <w:tcBorders>
              <w:top w:val="single" w:sz="4" w:space="0" w:color="auto"/>
              <w:left w:val="single" w:sz="4" w:space="0" w:color="auto"/>
              <w:bottom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2000 &lt; І</w:t>
            </w:r>
            <w:r w:rsidRPr="00102A2E">
              <w:rPr>
                <w:rFonts w:ascii="Times New Roman" w:hAnsi="Times New Roman" w:cs="Times New Roman"/>
                <w:vertAlign w:val="subscript"/>
              </w:rPr>
              <w:t>ГГ</w:t>
            </w:r>
            <w:r w:rsidRPr="00102A2E">
              <w:rPr>
                <w:rFonts w:ascii="Times New Roman" w:hAnsi="Times New Roman" w:cs="Times New Roman"/>
              </w:rPr>
              <w:t xml:space="preserve"> &lt; 10000</w:t>
            </w:r>
          </w:p>
        </w:tc>
        <w:tc>
          <w:tcPr>
            <w:tcW w:w="2290" w:type="dxa"/>
            <w:tcBorders>
              <w:top w:val="single" w:sz="4" w:space="0" w:color="auto"/>
              <w:left w:val="single" w:sz="4" w:space="0" w:color="auto"/>
              <w:bottom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1000 &lt; І</w:t>
            </w:r>
            <w:r w:rsidRPr="00102A2E">
              <w:rPr>
                <w:rFonts w:ascii="Times New Roman" w:hAnsi="Times New Roman" w:cs="Times New Roman"/>
                <w:vertAlign w:val="subscript"/>
              </w:rPr>
              <w:t>ГГ</w:t>
            </w:r>
            <w:r w:rsidRPr="00102A2E">
              <w:rPr>
                <w:rFonts w:ascii="Times New Roman" w:hAnsi="Times New Roman" w:cs="Times New Roman"/>
              </w:rPr>
              <w:t xml:space="preserve"> &lt; 2000</w:t>
            </w:r>
          </w:p>
        </w:tc>
        <w:tc>
          <w:tcPr>
            <w:tcW w:w="2462" w:type="dxa"/>
            <w:tcBorders>
              <w:top w:val="single" w:sz="4" w:space="0" w:color="auto"/>
              <w:left w:val="single" w:sz="4" w:space="0" w:color="auto"/>
              <w:bottom w:val="single" w:sz="4" w:space="0" w:color="auto"/>
              <w:righ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smallCaps/>
              </w:rPr>
              <w:t>і</w:t>
            </w:r>
            <w:r w:rsidRPr="00102A2E">
              <w:rPr>
                <w:rFonts w:ascii="Times New Roman" w:hAnsi="Times New Roman" w:cs="Times New Roman"/>
              </w:rPr>
              <w:t>гг &lt; 1000</w:t>
            </w:r>
          </w:p>
        </w:tc>
      </w:tr>
    </w:tbl>
    <w:p w:rsidR="00102A2E" w:rsidRDefault="00102A2E" w:rsidP="00102A2E">
      <w:pPr>
        <w:ind w:firstLine="360"/>
        <w:jc w:val="both"/>
        <w:rPr>
          <w:rFonts w:ascii="Times New Roman" w:hAnsi="Times New Roman" w:cs="Times New Roman"/>
        </w:rPr>
      </w:pP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Коефіцієнт Розенблюта (Холла-Тайдмана) розраховується на основі зіставлення рангів суб’єктів підприємницької діяльності на ринку і їх ринкових часток. Максимальне значення коефіцієнта дорівнює 1 </w:t>
      </w:r>
      <w:r w:rsidRPr="00B117D2">
        <w:rPr>
          <w:rFonts w:ascii="Times New Roman" w:hAnsi="Times New Roman" w:cs="Times New Roman"/>
          <w:sz w:val="28"/>
          <w:szCs w:val="28"/>
          <w:lang w:val="ru-RU" w:eastAsia="ru-RU" w:bidi="ru-RU"/>
        </w:rPr>
        <w:t xml:space="preserve">(за </w:t>
      </w:r>
      <w:r w:rsidRPr="00B117D2">
        <w:rPr>
          <w:rFonts w:ascii="Times New Roman" w:hAnsi="Times New Roman" w:cs="Times New Roman"/>
          <w:sz w:val="28"/>
          <w:szCs w:val="28"/>
        </w:rPr>
        <w:t xml:space="preserve">умов монополії), мінімальне - </w:t>
      </w:r>
      <w:r w:rsidRPr="00B117D2">
        <w:rPr>
          <w:rFonts w:ascii="Times New Roman" w:hAnsi="Times New Roman" w:cs="Times New Roman"/>
          <w:sz w:val="28"/>
          <w:szCs w:val="28"/>
          <w:lang w:val="en-US" w:eastAsia="en-US" w:bidi="en-US"/>
        </w:rPr>
        <w:t xml:space="preserve">1/n (n </w:t>
      </w:r>
      <w:r w:rsidRPr="00B117D2">
        <w:rPr>
          <w:rFonts w:ascii="Times New Roman" w:hAnsi="Times New Roman" w:cs="Times New Roman"/>
          <w:sz w:val="28"/>
          <w:szCs w:val="28"/>
        </w:rPr>
        <w:t>- число суб’єктів підприємницької діяльності у галузі). За економічним змістом цей показник схожий на індекс Герфіндаля-Гіршмана, проте до переваг коефіцієнта Холла-Тайдмана належить можливість врахуван</w:t>
      </w:r>
      <w:r w:rsidRPr="00B117D2">
        <w:rPr>
          <w:rFonts w:ascii="Times New Roman" w:hAnsi="Times New Roman" w:cs="Times New Roman"/>
          <w:sz w:val="28"/>
          <w:szCs w:val="28"/>
        </w:rPr>
        <w:softHyphen/>
        <w:t>ня співвідношення розмірів підприємств-великих продавців, що допомагає провести більш глибокий аналіз ринкової структури галузі. Отже, коефіцієнт усуває недоліки індексу Герфіндаля-Гіршмана, оскільки обчислюється з урахуванням порядкового номера суб’єкта підприємницької діяльності, отриманого на основі ранжування часток від максимуму до мінімуму.</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Коефіцієнт Джині кількісно інтерпретує графік </w:t>
      </w:r>
      <w:r w:rsidRPr="00B117D2">
        <w:rPr>
          <w:rFonts w:ascii="Times New Roman" w:hAnsi="Times New Roman" w:cs="Times New Roman"/>
          <w:sz w:val="28"/>
          <w:szCs w:val="28"/>
          <w:lang w:val="ru-RU" w:eastAsia="ru-RU" w:bidi="ru-RU"/>
        </w:rPr>
        <w:t xml:space="preserve">Лоренца </w:t>
      </w:r>
      <w:r w:rsidRPr="00B117D2">
        <w:rPr>
          <w:rFonts w:ascii="Times New Roman" w:hAnsi="Times New Roman" w:cs="Times New Roman"/>
          <w:sz w:val="28"/>
          <w:szCs w:val="28"/>
        </w:rPr>
        <w:t>та є від</w:t>
      </w:r>
      <w:r w:rsidRPr="00B117D2">
        <w:rPr>
          <w:rFonts w:ascii="Times New Roman" w:hAnsi="Times New Roman" w:cs="Times New Roman"/>
          <w:sz w:val="28"/>
          <w:szCs w:val="28"/>
        </w:rPr>
        <w:softHyphen/>
        <w:t xml:space="preserve">ношенням площі, обмеженої фактичною кривою Лоренца і кривою Лоренца для абсолютно рівномірного розподілу ринкових часток (так званою “кривою абсолютної рівності”), до площі трикутника, обмеженого кривою Лоренца для </w:t>
      </w:r>
      <w:r w:rsidR="00B117D2">
        <w:rPr>
          <w:rFonts w:ascii="Times New Roman" w:hAnsi="Times New Roman" w:cs="Times New Roman"/>
          <w:sz w:val="28"/>
          <w:szCs w:val="28"/>
        </w:rPr>
        <w:t xml:space="preserve"> </w:t>
      </w:r>
      <w:r w:rsidRPr="00B117D2">
        <w:rPr>
          <w:rFonts w:ascii="Times New Roman" w:hAnsi="Times New Roman" w:cs="Times New Roman"/>
          <w:sz w:val="28"/>
          <w:szCs w:val="28"/>
        </w:rPr>
        <w:t xml:space="preserve"> </w:t>
      </w:r>
      <w:r w:rsidRPr="00B117D2">
        <w:rPr>
          <w:rFonts w:ascii="Times New Roman" w:hAnsi="Times New Roman" w:cs="Times New Roman"/>
          <w:sz w:val="28"/>
          <w:szCs w:val="28"/>
          <w:lang w:val="ru-RU" w:eastAsia="ru-RU" w:bidi="ru-RU"/>
        </w:rPr>
        <w:t xml:space="preserve">абсолютно </w:t>
      </w:r>
      <w:r w:rsidRPr="00B117D2">
        <w:rPr>
          <w:rFonts w:ascii="Times New Roman" w:hAnsi="Times New Roman" w:cs="Times New Roman"/>
          <w:sz w:val="28"/>
          <w:szCs w:val="28"/>
        </w:rPr>
        <w:lastRenderedPageBreak/>
        <w:t>рівномірного розподілу часток і осями абсцис та ординат. Чим вищим є коефіцієнт Джині, тим більша нерівномірність розподілу ринкових часток між продавцями і, отже, за інших рівних умов є вищим рівень концентрації.</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 xml:space="preserve">Коефіцієнт </w:t>
      </w:r>
      <w:r w:rsidRPr="00B117D2">
        <w:rPr>
          <w:rFonts w:ascii="Times New Roman" w:hAnsi="Times New Roman" w:cs="Times New Roman"/>
          <w:sz w:val="28"/>
          <w:szCs w:val="28"/>
          <w:lang w:val="ru-RU" w:eastAsia="ru-RU" w:bidi="ru-RU"/>
        </w:rPr>
        <w:t xml:space="preserve">Лернера </w:t>
      </w:r>
      <w:r w:rsidRPr="00B117D2">
        <w:rPr>
          <w:rFonts w:ascii="Times New Roman" w:hAnsi="Times New Roman" w:cs="Times New Roman"/>
          <w:sz w:val="28"/>
          <w:szCs w:val="28"/>
        </w:rPr>
        <w:t>відображає відхилення ціни від граничних витрат, пов’язаних з неефективним розміщенням ресурсів за умов монополії. Чим більше ціна реалізації продукції суб’єктів підприємницької діяльності відхи</w:t>
      </w:r>
      <w:r w:rsidRPr="00B117D2">
        <w:rPr>
          <w:rFonts w:ascii="Times New Roman" w:hAnsi="Times New Roman" w:cs="Times New Roman"/>
          <w:sz w:val="28"/>
          <w:szCs w:val="28"/>
        </w:rPr>
        <w:softHyphen/>
        <w:t xml:space="preserve">ляється від конкурентних цін, тим вищий коефіцієнт. Цей коефіцієнт для абсолютно конкурентного ринку дорівнює нулю (ринкова влада відсутня); для ринку монополістичної конкуренції він перебуває в межах 0,3-0,5; для ринку олігополії - в діапазоні 0,6-0,8 залежно від кількості суб’єктів підприємницької діяльності (і з їх зменшенням коефіцієнт збільшується); для ринків з домінуючим суб’єктом підприємницької діяльності він перебуває в межах </w:t>
      </w:r>
      <w:r w:rsidRPr="00B117D2">
        <w:rPr>
          <w:rFonts w:ascii="Times New Roman" w:hAnsi="Times New Roman" w:cs="Times New Roman"/>
          <w:sz w:val="28"/>
          <w:szCs w:val="28"/>
          <w:lang w:val="ru-RU" w:eastAsia="ru-RU" w:bidi="ru-RU"/>
        </w:rPr>
        <w:t>0,8</w:t>
      </w:r>
      <w:r w:rsidRPr="00B117D2">
        <w:rPr>
          <w:rFonts w:ascii="Times New Roman" w:hAnsi="Times New Roman" w:cs="Times New Roman"/>
          <w:sz w:val="28"/>
          <w:szCs w:val="28"/>
          <w:lang w:val="ru-RU" w:eastAsia="ru-RU" w:bidi="ru-RU"/>
        </w:rPr>
        <w:softHyphen/>
        <w:t>0,9,</w:t>
      </w:r>
      <w:r w:rsidRPr="00B117D2">
        <w:rPr>
          <w:rFonts w:ascii="Times New Roman" w:hAnsi="Times New Roman" w:cs="Times New Roman"/>
          <w:sz w:val="28"/>
          <w:szCs w:val="28"/>
        </w:rPr>
        <w:t xml:space="preserve"> а для ринку монополії - наближається до 1.</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Коефіцієнт відносної концентрації характеризує співвідношення числа найбільших суб’єктів підприємницької діяльності на ринку і контрольованої ними частки реалізації продукції. При значенні коефіцієнта більше 1 концент</w:t>
      </w:r>
      <w:r w:rsidRPr="00B117D2">
        <w:rPr>
          <w:rFonts w:ascii="Times New Roman" w:hAnsi="Times New Roman" w:cs="Times New Roman"/>
          <w:sz w:val="28"/>
          <w:szCs w:val="28"/>
        </w:rPr>
        <w:softHyphen/>
        <w:t>рація відсутня, ринок є конкурентним; менше або дорівнює 1 - на ринку спостерігається високий ступінь концентрації, ринкова влада суб’єктів підприємницької діяльності є великою.</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Зауважимо, якщо коефіцієнт дорівнює 1, між частками існує лінійна залежність: 1/30 частина суб’єктів підприємницької діяльності випускає 30%, а 1/10 - 50% сукупного обсягу реалізованої продукції. Про вплив найбільшого суб’єкта підприємницької діяльності на ринок можна говорити тоді, коли обсяг його реалізованої продукції становить не менше 20% місткості ринку.</w:t>
      </w:r>
    </w:p>
    <w:p w:rsidR="00B5351D" w:rsidRPr="00B117D2" w:rsidRDefault="0032518A" w:rsidP="00B117D2">
      <w:pPr>
        <w:spacing w:line="288" w:lineRule="auto"/>
        <w:ind w:firstLine="709"/>
        <w:jc w:val="both"/>
        <w:rPr>
          <w:rFonts w:ascii="Times New Roman" w:hAnsi="Times New Roman" w:cs="Times New Roman"/>
          <w:sz w:val="28"/>
          <w:szCs w:val="28"/>
        </w:rPr>
      </w:pPr>
      <w:r w:rsidRPr="00B117D2">
        <w:rPr>
          <w:rFonts w:ascii="Times New Roman" w:hAnsi="Times New Roman" w:cs="Times New Roman"/>
          <w:sz w:val="28"/>
          <w:szCs w:val="28"/>
        </w:rPr>
        <w:t>Коефіцієнт ентропії - це середня частка суб’єктів підприємницької діяльності, що існують на ринку, зважена за натуральним логарифмом зворотній їй величині. Абсолютні значення коефіцієнта ентропії, отримані при різних методиках розрахунку, економічного змісту не змінюють і дозволяють не тільки аналізувати тенденції, що відбуваються на одному і тому ж товарному ринку за певний період, а й зіставляти різні типи ринків. Коефіцієнт характеризує ступінь деконцентрації ринку та дозволяє більш глибоко дослідити рівень і динаміку концентрації: чим більший коефіцієнт, тим більша економічна невизначеність та нижчий рівень концентрації ринку.</w:t>
      </w:r>
    </w:p>
    <w:p w:rsidR="0032518A" w:rsidRPr="00B117D2" w:rsidRDefault="0032518A" w:rsidP="00B117D2">
      <w:pPr>
        <w:tabs>
          <w:tab w:val="left" w:pos="658"/>
        </w:tabs>
        <w:spacing w:line="288" w:lineRule="auto"/>
        <w:ind w:firstLine="709"/>
        <w:jc w:val="both"/>
        <w:rPr>
          <w:rFonts w:ascii="Times New Roman" w:hAnsi="Times New Roman" w:cs="Times New Roman"/>
          <w:sz w:val="28"/>
          <w:szCs w:val="28"/>
          <w:lang w:val="en-US"/>
        </w:rPr>
      </w:pPr>
    </w:p>
    <w:p w:rsidR="00B5351D" w:rsidRPr="00102A2E" w:rsidRDefault="00B5351D" w:rsidP="00102A2E">
      <w:pPr>
        <w:jc w:val="both"/>
        <w:rPr>
          <w:rFonts w:ascii="Times New Roman" w:hAnsi="Times New Roman" w:cs="Times New Roman"/>
          <w:sz w:val="2"/>
          <w:szCs w:val="2"/>
        </w:rPr>
      </w:pPr>
    </w:p>
    <w:p w:rsidR="00B117D2" w:rsidRDefault="00B117D2">
      <w:pPr>
        <w:rPr>
          <w:rFonts w:ascii="Times New Roman" w:hAnsi="Times New Roman" w:cs="Times New Roman"/>
        </w:rPr>
      </w:pPr>
    </w:p>
    <w:sectPr w:rsidR="00B117D2" w:rsidSect="00102A2E">
      <w:type w:val="continuous"/>
      <w:pgSz w:w="11909" w:h="16834" w:code="9"/>
      <w:pgMar w:top="1134" w:right="567" w:bottom="1134"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892" w:rsidRDefault="00630892" w:rsidP="00B5351D">
      <w:r>
        <w:separator/>
      </w:r>
    </w:p>
  </w:endnote>
  <w:endnote w:type="continuationSeparator" w:id="1">
    <w:p w:rsidR="00630892" w:rsidRDefault="00630892" w:rsidP="00B5351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892" w:rsidRDefault="00630892"/>
  </w:footnote>
  <w:footnote w:type="continuationSeparator" w:id="1">
    <w:p w:rsidR="00630892" w:rsidRDefault="00630892"/>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B5351D"/>
    <w:rsid w:val="00102A2E"/>
    <w:rsid w:val="00322A88"/>
    <w:rsid w:val="0032518A"/>
    <w:rsid w:val="00630892"/>
    <w:rsid w:val="006D3FCB"/>
    <w:rsid w:val="0073177F"/>
    <w:rsid w:val="00773266"/>
    <w:rsid w:val="008455FA"/>
    <w:rsid w:val="00931066"/>
    <w:rsid w:val="00B117D2"/>
    <w:rsid w:val="00B343CC"/>
    <w:rsid w:val="00B5351D"/>
    <w:rsid w:val="00EA6820"/>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5351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351D"/>
    <w:rPr>
      <w:color w:val="0066CC"/>
      <w:u w:val="single"/>
    </w:rPr>
  </w:style>
  <w:style w:type="paragraph" w:styleId="a4">
    <w:name w:val="Balloon Text"/>
    <w:basedOn w:val="a"/>
    <w:link w:val="a5"/>
    <w:uiPriority w:val="99"/>
    <w:semiHidden/>
    <w:unhideWhenUsed/>
    <w:rsid w:val="0032518A"/>
    <w:rPr>
      <w:rFonts w:ascii="Tahoma" w:hAnsi="Tahoma" w:cs="Tahoma"/>
      <w:sz w:val="16"/>
      <w:szCs w:val="16"/>
    </w:rPr>
  </w:style>
  <w:style w:type="character" w:customStyle="1" w:styleId="a5">
    <w:name w:val="Текст выноски Знак"/>
    <w:basedOn w:val="a0"/>
    <w:link w:val="a4"/>
    <w:uiPriority w:val="99"/>
    <w:semiHidden/>
    <w:rsid w:val="0032518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15</Pages>
  <Words>4885</Words>
  <Characters>27851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2024-02-05T06:45:00Z</dcterms:created>
  <dcterms:modified xsi:type="dcterms:W3CDTF">2024-02-05T20:38:00Z</dcterms:modified>
</cp:coreProperties>
</file>