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C164" w14:textId="71BB2919" w:rsidR="00972A44" w:rsidRPr="00972A44" w:rsidRDefault="00972A44" w:rsidP="00972A44">
      <w:r w:rsidRPr="00972A44">
        <w:rPr>
          <w:noProof/>
        </w:rPr>
        <w:drawing>
          <wp:inline distT="0" distB="0" distL="0" distR="0" wp14:anchorId="7E1617FA" wp14:editId="1C2A7B9C">
            <wp:extent cx="5940425" cy="8381365"/>
            <wp:effectExtent l="0" t="0" r="3175" b="635"/>
            <wp:docPr id="1328237803" name="Рисунок 1" descr="Зображення, що містить текст, лист, Шрифт, папі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37803" name="Рисунок 1" descr="Зображення, що містить текст, лист, Шрифт, папі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707A" w14:textId="1FFD140E" w:rsidR="00972A44" w:rsidRDefault="00972A44">
      <w:r>
        <w:br w:type="page"/>
      </w:r>
    </w:p>
    <w:p w14:paraId="63AE865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8"/>
          <w:lang w:val="uk-UA" w:eastAsia="ar-SA"/>
          <w14:ligatures w14:val="none"/>
        </w:rPr>
        <w:lastRenderedPageBreak/>
        <w:t>МІНІСТЕРСТВО ОСВІТИ І НАУКИ УКРАЇНИ</w:t>
      </w:r>
    </w:p>
    <w:p w14:paraId="3965297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8"/>
          <w:lang w:val="uk-UA" w:eastAsia="ar-SA"/>
          <w14:ligatures w14:val="none"/>
        </w:rPr>
        <w:t>ЗАПОРІЗЬКИЙ НАЦІОНАЛЬНИЙ УНІВЕРСИТЕТ</w:t>
      </w:r>
    </w:p>
    <w:p w14:paraId="78F4EDAE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caps/>
          <w:kern w:val="0"/>
          <w:sz w:val="24"/>
          <w:szCs w:val="28"/>
          <w:lang w:val="uk-UA" w:eastAsia="ar-SA"/>
          <w14:ligatures w14:val="none"/>
        </w:rPr>
        <w:t>ЕКОНОМІЧНИЙ Факультет</w:t>
      </w:r>
    </w:p>
    <w:p w14:paraId="674F2D89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ar-SA"/>
          <w14:ligatures w14:val="none"/>
        </w:rPr>
        <w:t>Кафедра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ФІНАНСІВ, БАНКІВСЬКОЇ СПРАВИ ТА СТРАХУВАННЯ </w:t>
      </w:r>
    </w:p>
    <w:p w14:paraId="6392CE63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204A234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</w:t>
      </w:r>
    </w:p>
    <w:p w14:paraId="56CF707E" w14:textId="77777777" w:rsidR="00972A44" w:rsidRPr="00972A44" w:rsidRDefault="00972A44" w:rsidP="00972A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</w:t>
      </w: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ЗАТВЕРДЖУЮ</w:t>
      </w:r>
    </w:p>
    <w:p w14:paraId="6F1B762D" w14:textId="77777777" w:rsidR="00972A44" w:rsidRPr="00972A44" w:rsidRDefault="00972A44" w:rsidP="00972A44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Декан економічного факультету </w:t>
      </w:r>
    </w:p>
    <w:p w14:paraId="0B91857A" w14:textId="77777777" w:rsidR="00972A44" w:rsidRPr="00972A44" w:rsidRDefault="00972A44" w:rsidP="00972A44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68BA46CD" w14:textId="332C3276" w:rsidR="00972A44" w:rsidRPr="00972A44" w:rsidRDefault="00972A44" w:rsidP="00972A44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8"/>
          <w:lang w:val="uk-UA" w:eastAsia="ar-SA"/>
          <w14:ligatures w14:val="none"/>
        </w:rPr>
        <w:t xml:space="preserve">  ______        А. В. Череп </w:t>
      </w:r>
      <w:r w:rsidRPr="00972A4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ar-SA"/>
          <w14:ligatures w14:val="none"/>
        </w:rPr>
        <w:t xml:space="preserve"> </w:t>
      </w:r>
    </w:p>
    <w:p w14:paraId="4D3B0A20" w14:textId="73FAF8F8" w:rsidR="00972A44" w:rsidRPr="00972A44" w:rsidRDefault="00972A44" w:rsidP="00972A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«______»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3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</w:p>
    <w:p w14:paraId="6D005DC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ar-SA"/>
          <w14:ligatures w14:val="none"/>
        </w:rPr>
      </w:pPr>
    </w:p>
    <w:p w14:paraId="421B0B5D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ar-SA"/>
          <w14:ligatures w14:val="none"/>
        </w:rPr>
      </w:pPr>
    </w:p>
    <w:p w14:paraId="228FC7B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ar-SA"/>
          <w14:ligatures w14:val="none"/>
        </w:rPr>
      </w:pPr>
    </w:p>
    <w:p w14:paraId="00EDF55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3EA3BD0" w14:textId="7E2E4165" w:rsidR="00972A44" w:rsidRPr="00972A44" w:rsidRDefault="00972A44" w:rsidP="00972A44">
      <w:pPr>
        <w:jc w:val="center"/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УСТАНОВАХ</w:t>
      </w:r>
      <w:r w:rsidRPr="00972A44"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0C05644C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ar-SA"/>
          <w14:ligatures w14:val="none"/>
        </w:rPr>
      </w:pPr>
    </w:p>
    <w:p w14:paraId="45E56C5C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ar-SA"/>
          <w14:ligatures w14:val="none"/>
        </w:rPr>
        <w:t>РОБОЧА ПРОГРАМА НАВЧАЛЬНОЇ ДИСЦИПЛІНИ</w:t>
      </w:r>
      <w:r w:rsidRPr="00972A4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ar-SA"/>
          <w14:ligatures w14:val="none"/>
        </w:rPr>
        <w:t xml:space="preserve"> </w:t>
      </w:r>
    </w:p>
    <w:p w14:paraId="0D7ADA78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</w:pPr>
    </w:p>
    <w:p w14:paraId="3D1BE74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ar-SA"/>
          <w14:ligatures w14:val="none"/>
        </w:rPr>
        <w:t>підготовки бакалавра</w:t>
      </w:r>
      <w:r w:rsidRPr="00972A44">
        <w:rPr>
          <w:rFonts w:ascii="Times New Roman" w:eastAsia="Times New Roman" w:hAnsi="Times New Roman" w:cs="Times New Roman"/>
          <w:bCs/>
          <w:kern w:val="0"/>
          <w:sz w:val="16"/>
          <w:szCs w:val="16"/>
          <w:lang w:val="uk-UA" w:eastAsia="ar-SA"/>
          <w14:ligatures w14:val="none"/>
        </w:rPr>
        <w:t xml:space="preserve"> </w:t>
      </w:r>
    </w:p>
    <w:p w14:paraId="7284D679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ar-SA"/>
          <w14:ligatures w14:val="none"/>
        </w:rPr>
      </w:pPr>
    </w:p>
    <w:p w14:paraId="6D24E2EE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ar-SA"/>
          <w14:ligatures w14:val="none"/>
        </w:rPr>
        <w:t>денної (очної) та заочної форм здобуття освіти</w:t>
      </w:r>
    </w:p>
    <w:p w14:paraId="3B22B1C8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спеціальності  072 «Фінанси, банківська справа та страхування», </w:t>
      </w:r>
    </w:p>
    <w:p w14:paraId="3D0B2018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>освітньо-професійна програма «Фінанси і кредит»</w:t>
      </w:r>
    </w:p>
    <w:p w14:paraId="6EDB1BC5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16"/>
          <w:szCs w:val="16"/>
          <w:lang w:val="uk-UA" w:eastAsia="ar-SA"/>
          <w14:ligatures w14:val="none"/>
        </w:rPr>
        <w:t xml:space="preserve">                                   </w:t>
      </w:r>
    </w:p>
    <w:p w14:paraId="66C559B6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16"/>
          <w:szCs w:val="16"/>
          <w:lang w:val="uk-UA" w:eastAsia="ar-SA"/>
          <w14:ligatures w14:val="none"/>
        </w:rPr>
        <w:t xml:space="preserve">                                                  </w:t>
      </w:r>
    </w:p>
    <w:p w14:paraId="3C0F92C7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</w:p>
    <w:p w14:paraId="3C7EB934" w14:textId="77777777" w:rsidR="00972A44" w:rsidRPr="00972A44" w:rsidRDefault="00972A44" w:rsidP="00972A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</w:p>
    <w:p w14:paraId="6493E2B8" w14:textId="77777777" w:rsidR="00972A44" w:rsidRPr="00972A44" w:rsidRDefault="00972A44" w:rsidP="00972A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Укладач: Кущик Анатолій Петрович, к. е. н., доцент, професор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633"/>
      </w:tblGrid>
      <w:tr w:rsidR="00972A44" w:rsidRPr="00972A44" w14:paraId="02330053" w14:textId="77777777" w:rsidTr="001B6A6E">
        <w:tc>
          <w:tcPr>
            <w:tcW w:w="4722" w:type="dxa"/>
          </w:tcPr>
          <w:p w14:paraId="186D9D1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4030329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Обговорено та ухвалено</w:t>
            </w:r>
          </w:p>
          <w:p w14:paraId="14112C9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на засіданні кафедри фінансів, банківської справи та страхування </w:t>
            </w:r>
          </w:p>
          <w:p w14:paraId="71E841A4" w14:textId="24DAF7D2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Протокол № 1 від  “2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” серпня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р.</w:t>
            </w:r>
          </w:p>
          <w:p w14:paraId="762B37E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Завідувач кафедри фінансів, банківської справи та страхування ______________________ А. П. Кущик</w:t>
            </w:r>
          </w:p>
          <w:p w14:paraId="730C4E3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ar-SA"/>
                <w14:ligatures w14:val="none"/>
              </w:rPr>
            </w:pPr>
          </w:p>
        </w:tc>
        <w:tc>
          <w:tcPr>
            <w:tcW w:w="4633" w:type="dxa"/>
          </w:tcPr>
          <w:p w14:paraId="3A208D5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0DDAE68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Ухвалено науково-методичною радою економічного факультету </w:t>
            </w:r>
          </w:p>
          <w:p w14:paraId="21C9703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</w:t>
            </w:r>
          </w:p>
          <w:p w14:paraId="47E23B1B" w14:textId="1FC23A0A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Протокол №  1 від  “2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”серпня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р.</w:t>
            </w:r>
          </w:p>
          <w:p w14:paraId="4D0247D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Голова науково-методичної ради економічного факультету </w:t>
            </w:r>
          </w:p>
          <w:p w14:paraId="6B8AAC17" w14:textId="44E8C8CA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Н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О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Дугіє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нко</w:t>
            </w:r>
          </w:p>
          <w:p w14:paraId="41F8D5E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</w:tbl>
    <w:p w14:paraId="79A017DC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972A44" w:rsidRPr="00972A44" w14:paraId="2296F7F7" w14:textId="77777777" w:rsidTr="001B6A6E">
        <w:trPr>
          <w:trHeight w:val="1702"/>
        </w:trPr>
        <w:tc>
          <w:tcPr>
            <w:tcW w:w="4785" w:type="dxa"/>
          </w:tcPr>
          <w:p w14:paraId="0DC05D7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Погоджено </w:t>
            </w:r>
          </w:p>
          <w:p w14:paraId="27CE8974" w14:textId="27E3C96A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гарант освітньо-професійної програми</w:t>
            </w:r>
          </w:p>
          <w:p w14:paraId="370252FF" w14:textId="18EEB76A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_______________  А. В. Горбунова</w:t>
            </w:r>
          </w:p>
        </w:tc>
        <w:tc>
          <w:tcPr>
            <w:tcW w:w="4786" w:type="dxa"/>
          </w:tcPr>
          <w:p w14:paraId="6F36C0F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</w:tr>
    </w:tbl>
    <w:p w14:paraId="14B385FE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</w:p>
    <w:p w14:paraId="46280AC9" w14:textId="58FCBC82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>3</w:t>
      </w:r>
      <w:r w:rsidRPr="00972A4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рік</w:t>
      </w:r>
    </w:p>
    <w:p w14:paraId="09328CA0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  <w14:ligatures w14:val="none"/>
        </w:rPr>
        <w:br w:type="page"/>
      </w:r>
    </w:p>
    <w:p w14:paraId="7349942A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  <w14:ligatures w14:val="none"/>
        </w:rPr>
        <w:lastRenderedPageBreak/>
        <w:t xml:space="preserve">1. </w:t>
      </w:r>
      <w:r w:rsidRPr="00972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  <w:t>Опис навчальної дисципліни</w:t>
      </w:r>
    </w:p>
    <w:p w14:paraId="68C5F861" w14:textId="77777777" w:rsidR="00972A44" w:rsidRPr="00972A44" w:rsidRDefault="00972A44" w:rsidP="00972A44">
      <w:pPr>
        <w:rPr>
          <w:rFonts w:ascii="Calibri" w:eastAsia="Times New Roman" w:hAnsi="Times New Roman" w:cs="Times New Roman"/>
          <w:kern w:val="0"/>
          <w:lang w:val="uk-UA" w:eastAsia="uk-UA"/>
          <w14:ligatures w14:val="none"/>
        </w:rPr>
      </w:pPr>
    </w:p>
    <w:tbl>
      <w:tblPr>
        <w:tblW w:w="9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972A44" w:rsidRPr="00972A44" w14:paraId="1DC89AAA" w14:textId="77777777" w:rsidTr="001B6A6E">
        <w:trPr>
          <w:trHeight w:val="110"/>
        </w:trPr>
        <w:tc>
          <w:tcPr>
            <w:tcW w:w="3119" w:type="dxa"/>
            <w:vAlign w:val="center"/>
          </w:tcPr>
          <w:p w14:paraId="0DD69B73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2976" w:type="dxa"/>
            <w:vAlign w:val="center"/>
          </w:tcPr>
          <w:p w14:paraId="7D16481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5AD7A458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</w:p>
        </w:tc>
      </w:tr>
      <w:tr w:rsidR="00972A44" w:rsidRPr="00972A44" w14:paraId="53C61AF9" w14:textId="77777777" w:rsidTr="001B6A6E">
        <w:trPr>
          <w:trHeight w:val="671"/>
        </w:trPr>
        <w:tc>
          <w:tcPr>
            <w:tcW w:w="3119" w:type="dxa"/>
            <w:vMerge w:val="restart"/>
            <w:vAlign w:val="center"/>
          </w:tcPr>
          <w:p w14:paraId="33E2254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Галузь знань, спеціальність, </w:t>
            </w:r>
          </w:p>
          <w:p w14:paraId="05BDE7F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освітня програма</w:t>
            </w:r>
          </w:p>
          <w:p w14:paraId="6179E02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1B981833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34E51792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Характеристика навчальної дисципліни</w:t>
            </w:r>
          </w:p>
        </w:tc>
      </w:tr>
      <w:tr w:rsidR="00972A44" w:rsidRPr="00972A44" w14:paraId="2AA655ED" w14:textId="77777777" w:rsidTr="001B6A6E">
        <w:trPr>
          <w:trHeight w:val="643"/>
        </w:trPr>
        <w:tc>
          <w:tcPr>
            <w:tcW w:w="3119" w:type="dxa"/>
            <w:vMerge/>
            <w:vAlign w:val="center"/>
          </w:tcPr>
          <w:p w14:paraId="7205A19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5D15F81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1503" w:type="dxa"/>
          </w:tcPr>
          <w:p w14:paraId="2EDBBED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14:paraId="3F35C75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заочна</w:t>
            </w:r>
          </w:p>
          <w:p w14:paraId="0D2DA1D6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форма здобуття освіти</w:t>
            </w:r>
          </w:p>
        </w:tc>
      </w:tr>
      <w:tr w:rsidR="00972A44" w:rsidRPr="00972A44" w14:paraId="65466856" w14:textId="77777777" w:rsidTr="001B6A6E">
        <w:trPr>
          <w:trHeight w:val="365"/>
        </w:trPr>
        <w:tc>
          <w:tcPr>
            <w:tcW w:w="3119" w:type="dxa"/>
            <w:vMerge w:val="restart"/>
          </w:tcPr>
          <w:p w14:paraId="4A3B2E0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Галузь знань</w:t>
            </w:r>
          </w:p>
          <w:p w14:paraId="5B60AC16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26B6AC06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07 «Управління та адміністрування»</w:t>
            </w:r>
          </w:p>
        </w:tc>
        <w:tc>
          <w:tcPr>
            <w:tcW w:w="2976" w:type="dxa"/>
            <w:vMerge w:val="restart"/>
            <w:vAlign w:val="center"/>
          </w:tcPr>
          <w:p w14:paraId="48F22876" w14:textId="77777777" w:rsidR="00972A44" w:rsidRPr="00972A44" w:rsidRDefault="00972A44" w:rsidP="00972A4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Кількість кредитів – 3 </w:t>
            </w:r>
          </w:p>
        </w:tc>
        <w:tc>
          <w:tcPr>
            <w:tcW w:w="3303" w:type="dxa"/>
            <w:gridSpan w:val="2"/>
            <w:vAlign w:val="center"/>
          </w:tcPr>
          <w:p w14:paraId="0D071F3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Обов’язкова </w:t>
            </w:r>
          </w:p>
        </w:tc>
      </w:tr>
      <w:tr w:rsidR="00972A44" w:rsidRPr="00972A44" w14:paraId="4AB00C6C" w14:textId="77777777" w:rsidTr="001B6A6E">
        <w:trPr>
          <w:trHeight w:val="480"/>
        </w:trPr>
        <w:tc>
          <w:tcPr>
            <w:tcW w:w="3119" w:type="dxa"/>
            <w:vMerge/>
          </w:tcPr>
          <w:p w14:paraId="591D8AC6" w14:textId="77777777" w:rsidR="00972A44" w:rsidRPr="00972A44" w:rsidRDefault="00972A44" w:rsidP="00972A4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5D61BE78" w14:textId="77777777" w:rsidR="00972A44" w:rsidRPr="00972A44" w:rsidRDefault="00972A44" w:rsidP="00972A4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09D4FB0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Цикл професійної підготовки освітньої програми</w:t>
            </w:r>
          </w:p>
        </w:tc>
      </w:tr>
      <w:tr w:rsidR="00972A44" w:rsidRPr="00972A44" w14:paraId="12747C24" w14:textId="77777777" w:rsidTr="001B6A6E">
        <w:trPr>
          <w:trHeight w:val="631"/>
        </w:trPr>
        <w:tc>
          <w:tcPr>
            <w:tcW w:w="3119" w:type="dxa"/>
            <w:vMerge w:val="restart"/>
            <w:vAlign w:val="center"/>
          </w:tcPr>
          <w:p w14:paraId="5ED957E2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Спеціальність</w:t>
            </w:r>
          </w:p>
          <w:p w14:paraId="530D7256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072 «Фінанси, банківська справа та страхування»,</w:t>
            </w:r>
          </w:p>
          <w:p w14:paraId="45E8230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594E948" w14:textId="77777777" w:rsidR="00972A44" w:rsidRPr="00972A44" w:rsidRDefault="00972A44" w:rsidP="00972A44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Загальна кількість годин – 90</w:t>
            </w:r>
          </w:p>
        </w:tc>
        <w:tc>
          <w:tcPr>
            <w:tcW w:w="3303" w:type="dxa"/>
            <w:gridSpan w:val="2"/>
            <w:vAlign w:val="center"/>
          </w:tcPr>
          <w:p w14:paraId="6CC6674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Семестр:</w:t>
            </w:r>
          </w:p>
        </w:tc>
      </w:tr>
      <w:tr w:rsidR="00972A44" w:rsidRPr="00972A44" w14:paraId="12C0B1D4" w14:textId="77777777" w:rsidTr="001B6A6E">
        <w:trPr>
          <w:trHeight w:val="364"/>
        </w:trPr>
        <w:tc>
          <w:tcPr>
            <w:tcW w:w="3119" w:type="dxa"/>
            <w:vMerge/>
            <w:vAlign w:val="center"/>
          </w:tcPr>
          <w:p w14:paraId="19CB1BD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1FF8BC43" w14:textId="77777777" w:rsidR="00972A44" w:rsidRPr="00972A44" w:rsidRDefault="00972A44" w:rsidP="00972A44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1503" w:type="dxa"/>
            <w:vAlign w:val="center"/>
          </w:tcPr>
          <w:p w14:paraId="245B1B0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7 -й</w:t>
            </w:r>
          </w:p>
        </w:tc>
        <w:tc>
          <w:tcPr>
            <w:tcW w:w="1800" w:type="dxa"/>
            <w:vAlign w:val="center"/>
          </w:tcPr>
          <w:p w14:paraId="56298AD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9 -й</w:t>
            </w:r>
          </w:p>
        </w:tc>
      </w:tr>
      <w:tr w:rsidR="00972A44" w:rsidRPr="00972A44" w14:paraId="6AEA712E" w14:textId="77777777" w:rsidTr="001B6A6E">
        <w:trPr>
          <w:trHeight w:val="322"/>
        </w:trPr>
        <w:tc>
          <w:tcPr>
            <w:tcW w:w="3119" w:type="dxa"/>
            <w:vMerge/>
            <w:vAlign w:val="center"/>
          </w:tcPr>
          <w:p w14:paraId="0572C353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EBBE833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Змістових модулів – 4</w:t>
            </w:r>
          </w:p>
        </w:tc>
        <w:tc>
          <w:tcPr>
            <w:tcW w:w="3303" w:type="dxa"/>
            <w:gridSpan w:val="2"/>
            <w:vAlign w:val="center"/>
          </w:tcPr>
          <w:p w14:paraId="29C7A3F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Лекції</w:t>
            </w:r>
          </w:p>
        </w:tc>
      </w:tr>
      <w:tr w:rsidR="00972A44" w:rsidRPr="00972A44" w14:paraId="7EF863C9" w14:textId="77777777" w:rsidTr="001B6A6E">
        <w:trPr>
          <w:trHeight w:val="320"/>
        </w:trPr>
        <w:tc>
          <w:tcPr>
            <w:tcW w:w="3119" w:type="dxa"/>
            <w:vMerge w:val="restart"/>
            <w:vAlign w:val="center"/>
          </w:tcPr>
          <w:p w14:paraId="3F04D6D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Освітньо-професійна програма</w:t>
            </w:r>
          </w:p>
          <w:p w14:paraId="37B3BE8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05A0ACD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«Фінанси і кредит»</w:t>
            </w:r>
          </w:p>
        </w:tc>
        <w:tc>
          <w:tcPr>
            <w:tcW w:w="2976" w:type="dxa"/>
            <w:vMerge/>
            <w:vAlign w:val="center"/>
          </w:tcPr>
          <w:p w14:paraId="00127FC2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1503" w:type="dxa"/>
            <w:vAlign w:val="center"/>
          </w:tcPr>
          <w:p w14:paraId="60BBE0E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10 год.</w:t>
            </w:r>
          </w:p>
        </w:tc>
        <w:tc>
          <w:tcPr>
            <w:tcW w:w="1800" w:type="dxa"/>
            <w:vAlign w:val="center"/>
          </w:tcPr>
          <w:p w14:paraId="22B11827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 год.</w:t>
            </w:r>
          </w:p>
        </w:tc>
      </w:tr>
      <w:tr w:rsidR="00972A44" w:rsidRPr="00972A44" w14:paraId="70B02FD2" w14:textId="77777777" w:rsidTr="001B6A6E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A190B23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4DCCED98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49C3BCA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Практичні заняття</w:t>
            </w:r>
          </w:p>
          <w:p w14:paraId="752A3E97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  <w:tr w:rsidR="00972A44" w:rsidRPr="00972A44" w14:paraId="4D2DE7D8" w14:textId="77777777" w:rsidTr="001B6A6E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32278CF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Рівень вищої освіти:</w:t>
            </w: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</w:t>
            </w:r>
          </w:p>
          <w:p w14:paraId="3258AFE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0F623E7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бакалаврський</w:t>
            </w:r>
          </w:p>
          <w:p w14:paraId="47041302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025A0627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Кількість поточних контрольних заходів – 12</w:t>
            </w:r>
          </w:p>
          <w:p w14:paraId="52AAB226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9814D8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20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88DA5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 год.</w:t>
            </w:r>
          </w:p>
        </w:tc>
      </w:tr>
      <w:tr w:rsidR="00972A44" w:rsidRPr="00972A44" w14:paraId="149012DB" w14:textId="77777777" w:rsidTr="001B6A6E">
        <w:trPr>
          <w:trHeight w:val="138"/>
        </w:trPr>
        <w:tc>
          <w:tcPr>
            <w:tcW w:w="3119" w:type="dxa"/>
            <w:vMerge/>
            <w:vAlign w:val="center"/>
          </w:tcPr>
          <w:p w14:paraId="75241D03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0579EA3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11BDA3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Самостійна робота</w:t>
            </w:r>
          </w:p>
        </w:tc>
      </w:tr>
      <w:tr w:rsidR="00972A44" w:rsidRPr="00972A44" w14:paraId="66B4BA8C" w14:textId="77777777" w:rsidTr="001B6A6E">
        <w:trPr>
          <w:trHeight w:val="138"/>
        </w:trPr>
        <w:tc>
          <w:tcPr>
            <w:tcW w:w="3119" w:type="dxa"/>
            <w:vMerge/>
            <w:vAlign w:val="center"/>
          </w:tcPr>
          <w:p w14:paraId="763013F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2D7B5568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1503" w:type="dxa"/>
            <w:vAlign w:val="center"/>
          </w:tcPr>
          <w:p w14:paraId="6F884CB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60 год.</w:t>
            </w:r>
          </w:p>
        </w:tc>
        <w:tc>
          <w:tcPr>
            <w:tcW w:w="1800" w:type="dxa"/>
            <w:vAlign w:val="center"/>
          </w:tcPr>
          <w:p w14:paraId="5AF43C28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82 год.</w:t>
            </w:r>
          </w:p>
        </w:tc>
      </w:tr>
      <w:tr w:rsidR="00972A44" w:rsidRPr="00972A44" w14:paraId="291D4143" w14:textId="77777777" w:rsidTr="001B6A6E">
        <w:trPr>
          <w:trHeight w:val="138"/>
        </w:trPr>
        <w:tc>
          <w:tcPr>
            <w:tcW w:w="3119" w:type="dxa"/>
            <w:vMerge/>
            <w:vAlign w:val="center"/>
          </w:tcPr>
          <w:p w14:paraId="3E657BE7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564F2E1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6A8657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Вид підсумкового семестрового контролю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: </w:t>
            </w:r>
          </w:p>
          <w:p w14:paraId="7549BE7A" w14:textId="4B1D2F02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екзамен</w:t>
            </w: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</w:t>
            </w:r>
          </w:p>
        </w:tc>
      </w:tr>
    </w:tbl>
    <w:p w14:paraId="625D7364" w14:textId="77777777" w:rsidR="00972A44" w:rsidRPr="00972A44" w:rsidRDefault="00972A44" w:rsidP="00972A44">
      <w:pPr>
        <w:spacing w:after="0"/>
        <w:ind w:firstLine="709"/>
        <w:jc w:val="both"/>
        <w:rPr>
          <w:rFonts w:ascii="Calibri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</w:p>
    <w:p w14:paraId="3620AB2E" w14:textId="70654C5B" w:rsidR="00972A44" w:rsidRPr="00972A44" w:rsidRDefault="00972A44" w:rsidP="00972A44">
      <w:pPr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b/>
          <w:kern w:val="0"/>
          <w:sz w:val="24"/>
          <w:szCs w:val="24"/>
          <w:lang w:val="uk-UA" w:eastAsia="uk-UA"/>
          <w14:ligatures w14:val="none"/>
        </w:rPr>
        <w:t>Метою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навчальної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дисципліни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>інансовий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1"/>
          <w:kern w:val="0"/>
          <w:sz w:val="24"/>
          <w:szCs w:val="24"/>
          <w:lang w:val="uk-UA" w:eastAsia="uk-UA"/>
          <w14:ligatures w14:val="none"/>
        </w:rPr>
        <w:t>установах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засвоєння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студентами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сутності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аналізу</w:t>
      </w:r>
      <w:r w:rsidRPr="00972A44">
        <w:rPr>
          <w:rFonts w:ascii="Calibri" w:eastAsia="Times New Roman" w:hAnsi="Times New Roman" w:cs="Times New Roman"/>
          <w:color w:val="000000"/>
          <w:spacing w:val="-3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набуття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вміння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застосовувати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сучасні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методи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прийоми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оцінки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стану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здатність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обґрунтовувати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>управлінські</w:t>
      </w:r>
      <w:r w:rsidRPr="00972A44">
        <w:rPr>
          <w:rFonts w:ascii="Calibri" w:eastAsia="Times New Roman" w:hAnsi="Times New Roman" w:cs="Times New Roman"/>
          <w:color w:val="000000"/>
          <w:spacing w:val="4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рішення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і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їх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вплив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на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ефективність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функціонування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color w:val="000000"/>
          <w:spacing w:val="-6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.</w:t>
      </w:r>
    </w:p>
    <w:p w14:paraId="1E53D41D" w14:textId="792F42C8" w:rsidR="00972A44" w:rsidRPr="00972A44" w:rsidRDefault="00972A44" w:rsidP="00972A44">
      <w:pPr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Основними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b/>
          <w:bCs/>
          <w:kern w:val="0"/>
          <w:sz w:val="24"/>
          <w:szCs w:val="24"/>
          <w:lang w:val="uk-UA" w:eastAsia="uk-UA"/>
          <w14:ligatures w14:val="none"/>
        </w:rPr>
        <w:t>завданнями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дисципліни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установах»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</w:p>
    <w:p w14:paraId="10FD0C31" w14:textId="7777777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навчитися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сутності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методів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способів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;</w:t>
      </w:r>
    </w:p>
    <w:p w14:paraId="56C97B5B" w14:textId="5D513D1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набути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вмінь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структури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змісту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звітності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,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комерційного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банку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страхової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організації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тощо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;</w:t>
      </w:r>
    </w:p>
    <w:p w14:paraId="0A8E3DCF" w14:textId="7777777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оцінювати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показники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ліквідності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ділової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активності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стійкості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грошового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потоку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методику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їх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застосуванням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системи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коефіцієнтів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;</w:t>
      </w:r>
    </w:p>
    <w:p w14:paraId="0DE5E952" w14:textId="7777777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обчислювати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рівень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стійкості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фінустанови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чи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;</w:t>
      </w:r>
    </w:p>
    <w:p w14:paraId="4834AE54" w14:textId="7777777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розраховувати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наслідки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впливу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управлінських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рішень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діяльність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чи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фінустанови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;</w:t>
      </w:r>
    </w:p>
    <w:p w14:paraId="2810A78E" w14:textId="77777777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•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розробляти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шляхи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мінімізації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негативних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впливів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ризику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господарський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механізм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21F8C0AA" w14:textId="39A12CC1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b/>
          <w:bCs/>
          <w:kern w:val="0"/>
          <w:sz w:val="24"/>
          <w:szCs w:val="24"/>
          <w:lang w:val="uk-UA" w:eastAsia="uk-UA"/>
          <w14:ligatures w14:val="none"/>
        </w:rPr>
        <w:lastRenderedPageBreak/>
        <w:t>Предметом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курсу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установах»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теоретичні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організаційні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засади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сучасних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ринкових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умовах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5F03F792" w14:textId="37E53D16" w:rsidR="00972A44" w:rsidRPr="00972A44" w:rsidRDefault="00972A44" w:rsidP="00972A44">
      <w:pPr>
        <w:tabs>
          <w:tab w:val="left" w:pos="993"/>
        </w:tabs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b/>
          <w:bCs/>
          <w:kern w:val="0"/>
          <w:sz w:val="24"/>
          <w:szCs w:val="24"/>
          <w:lang w:val="uk-UA" w:eastAsia="uk-UA"/>
          <w14:ligatures w14:val="none"/>
        </w:rPr>
        <w:t>Об’єктом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навчальної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дисципліни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стан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установи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методи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його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оцінки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система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установах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363D969F" w14:textId="77777777" w:rsidR="00972A44" w:rsidRPr="00972A44" w:rsidRDefault="00972A44" w:rsidP="00972A44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У результаті вивчення навчальної дисципліни студент повинен набути таких результатів навчання та компетентностей:</w:t>
      </w:r>
    </w:p>
    <w:p w14:paraId="73C831E4" w14:textId="77777777" w:rsidR="00972A44" w:rsidRPr="00972A44" w:rsidRDefault="00972A44" w:rsidP="00972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77"/>
      </w:tblGrid>
      <w:tr w:rsidR="00972A44" w:rsidRPr="00972A44" w14:paraId="38247662" w14:textId="77777777" w:rsidTr="001B6A6E">
        <w:tc>
          <w:tcPr>
            <w:tcW w:w="4068" w:type="dxa"/>
          </w:tcPr>
          <w:p w14:paraId="622EF9C1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Заплановані робочою програмою результати навчання та компетентності </w:t>
            </w:r>
          </w:p>
        </w:tc>
        <w:tc>
          <w:tcPr>
            <w:tcW w:w="5277" w:type="dxa"/>
          </w:tcPr>
          <w:p w14:paraId="3F3039C1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і контрольні заходи, що забезпечують досягнення  результатів навчання та компетентностей</w:t>
            </w:r>
          </w:p>
        </w:tc>
      </w:tr>
      <w:tr w:rsidR="00972A44" w:rsidRPr="00972A44" w14:paraId="6CDF25FF" w14:textId="77777777" w:rsidTr="001B6A6E">
        <w:tc>
          <w:tcPr>
            <w:tcW w:w="4068" w:type="dxa"/>
          </w:tcPr>
          <w:p w14:paraId="69DE5C33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Загальні компетентності</w:t>
            </w:r>
          </w:p>
        </w:tc>
        <w:tc>
          <w:tcPr>
            <w:tcW w:w="5277" w:type="dxa"/>
          </w:tcPr>
          <w:p w14:paraId="1283FF2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  <w:tr w:rsidR="00972A44" w:rsidRPr="00972A44" w14:paraId="6EEF8A67" w14:textId="77777777" w:rsidTr="001B6A6E">
        <w:trPr>
          <w:trHeight w:val="2238"/>
        </w:trPr>
        <w:tc>
          <w:tcPr>
            <w:tcW w:w="4068" w:type="dxa"/>
          </w:tcPr>
          <w:p w14:paraId="47C18A64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застосовувати знання у практичних ситуаціях.</w:t>
            </w:r>
          </w:p>
          <w:p w14:paraId="66E707C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проведення досліджень на відповідному рівні</w:t>
            </w:r>
          </w:p>
          <w:p w14:paraId="48214065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вчитися і оволодівати сучасними знаннями.</w:t>
            </w:r>
          </w:p>
          <w:p w14:paraId="3EB02EE5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до пошуку, оброблення та аналізу інформації з різних джерел.</w:t>
            </w:r>
          </w:p>
        </w:tc>
        <w:tc>
          <w:tcPr>
            <w:tcW w:w="5277" w:type="dxa"/>
            <w:vMerge w:val="restart"/>
          </w:tcPr>
          <w:p w14:paraId="0803D69E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164D338F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учіння: репродуктивний, продуктивно-практичний, частково-пошуковий, моделювання.</w:t>
            </w:r>
          </w:p>
          <w:p w14:paraId="2ABFA55B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15375493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викладання: пояснювальний, інструктивно-практичний, пошуковий, створення ситуації новизни;</w:t>
            </w:r>
          </w:p>
          <w:p w14:paraId="06B44DF1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4E1ED56A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учіння: репродуктивний, продуктивно-практичний, частково-пошуковий, пошуковий, виконавський;</w:t>
            </w:r>
          </w:p>
          <w:p w14:paraId="0FEE2C8F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3F3036C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викладання: інформаційно-повідомлювальний, пояснювальний, інструктивно-практичний, створення ситуації новизни;</w:t>
            </w:r>
          </w:p>
          <w:p w14:paraId="37B1448F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269FEF8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методи учіння: репродуктивний, продуктивно-практичний, частково-пошуковий, моделювання.</w:t>
            </w:r>
          </w:p>
          <w:p w14:paraId="60B3DB43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  <w:tr w:rsidR="00972A44" w:rsidRPr="00972A44" w14:paraId="28298A6F" w14:textId="77777777" w:rsidTr="001B6A6E">
        <w:tc>
          <w:tcPr>
            <w:tcW w:w="4068" w:type="dxa"/>
          </w:tcPr>
          <w:p w14:paraId="769D954A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Спеціальні компетентності</w:t>
            </w:r>
          </w:p>
        </w:tc>
        <w:tc>
          <w:tcPr>
            <w:tcW w:w="5277" w:type="dxa"/>
            <w:vMerge/>
          </w:tcPr>
          <w:p w14:paraId="16752C19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  <w:tr w:rsidR="00972A44" w:rsidRPr="00972A44" w14:paraId="21B38C97" w14:textId="77777777" w:rsidTr="001B6A6E">
        <w:trPr>
          <w:trHeight w:val="3493"/>
        </w:trPr>
        <w:tc>
          <w:tcPr>
            <w:tcW w:w="4068" w:type="dxa"/>
          </w:tcPr>
          <w:p w14:paraId="5CB08583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застосовувати економіко-математичні методи та моделі для вирішення фінансових задач.</w:t>
            </w:r>
          </w:p>
          <w:p w14:paraId="7AFECD79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Здатність складати та аналізувати фінансову звітність, інтерпретувати та використовувати фінансову та пов’язану з нею інформацію.</w:t>
            </w:r>
          </w:p>
          <w:p w14:paraId="1C1DA7D3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Здатність виявляти причинно-наслідкові зв’язки між факторами, які впливають на фінансовий стан суб’єктів господарювання та між показниками, які використовуються для його оцінки.</w:t>
            </w:r>
          </w:p>
        </w:tc>
        <w:tc>
          <w:tcPr>
            <w:tcW w:w="5277" w:type="dxa"/>
            <w:vMerge/>
          </w:tcPr>
          <w:p w14:paraId="38BC0FB6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</w:tr>
      <w:tr w:rsidR="00972A44" w:rsidRPr="00972A44" w14:paraId="4D16E127" w14:textId="77777777" w:rsidTr="001B6A6E">
        <w:tc>
          <w:tcPr>
            <w:tcW w:w="4068" w:type="dxa"/>
          </w:tcPr>
          <w:p w14:paraId="00253DAC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Програмні результати навчання</w:t>
            </w:r>
          </w:p>
        </w:tc>
        <w:tc>
          <w:tcPr>
            <w:tcW w:w="5277" w:type="dxa"/>
          </w:tcPr>
          <w:p w14:paraId="2FBBA788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</w:p>
        </w:tc>
      </w:tr>
      <w:tr w:rsidR="00972A44" w:rsidRPr="00972A44" w14:paraId="39A32559" w14:textId="77777777" w:rsidTr="001B6A6E">
        <w:trPr>
          <w:trHeight w:val="8165"/>
        </w:trPr>
        <w:tc>
          <w:tcPr>
            <w:tcW w:w="4068" w:type="dxa"/>
          </w:tcPr>
          <w:p w14:paraId="01C867BE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lastRenderedPageBreak/>
      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</w:t>
            </w:r>
          </w:p>
          <w:p w14:paraId="00409DF2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Оцінювати механізми управління економічним ризиком</w:t>
            </w:r>
          </w:p>
          <w:p w14:paraId="49F8100D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Застосовувати відповідні економіко-математичні методи та моделі для вирішення фінансових задач</w:t>
            </w:r>
          </w:p>
          <w:p w14:paraId="4C8CA9F8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      </w:r>
          </w:p>
          <w:p w14:paraId="4B616436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14:paraId="724E52A4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Використовувати професійну аргументацію для донесення інформації, ідей, проблем та способів їх вирішення до фахівців</w:t>
            </w:r>
          </w:p>
          <w:p w14:paraId="41C5546A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Демонструвати базові навички креативного та критичного мислення у дослідженнях та професійному спілкуванні</w:t>
            </w:r>
          </w:p>
          <w:p w14:paraId="4A4443A5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Виконувати функціональні обов’язки в групі, пропонувати обґрунтовані фінансові рішення</w:t>
            </w:r>
          </w:p>
        </w:tc>
        <w:tc>
          <w:tcPr>
            <w:tcW w:w="5277" w:type="dxa"/>
            <w:vAlign w:val="center"/>
          </w:tcPr>
          <w:p w14:paraId="37E3E25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контрольні заходи: </w:t>
            </w:r>
          </w:p>
          <w:p w14:paraId="3C6DFAF1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</w:p>
          <w:p w14:paraId="6240CE42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усне опитування, тестування, виконання вправ та індивідуальних завдань.</w:t>
            </w:r>
          </w:p>
          <w:p w14:paraId="6B35AA97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</w:p>
          <w:p w14:paraId="04DE6349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розв’язання задач, виконання практичних та індивідуальних завдань; пошук, обробка та оцінка фінансової інформації.</w:t>
            </w:r>
          </w:p>
          <w:p w14:paraId="6293A7E2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</w:p>
          <w:p w14:paraId="559C6410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опитування, пошук, обробка та аналіз фінансової інформації; розрахунки фінансових показників.</w:t>
            </w:r>
          </w:p>
          <w:p w14:paraId="6BB7A748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</w:p>
          <w:p w14:paraId="7F995D74" w14:textId="77777777" w:rsidR="00972A44" w:rsidRPr="00972A44" w:rsidRDefault="00972A44" w:rsidP="00972A44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розв’язання задач і вправ; участь у дискусіях та ділових іграх</w:t>
            </w:r>
          </w:p>
        </w:tc>
      </w:tr>
    </w:tbl>
    <w:p w14:paraId="42DCAB10" w14:textId="77777777" w:rsidR="00972A44" w:rsidRPr="00972A44" w:rsidRDefault="00972A44" w:rsidP="00972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</w:p>
    <w:p w14:paraId="269B5596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Міждисциплінарні зв’язки.</w:t>
      </w:r>
    </w:p>
    <w:p w14:paraId="302F2DFD" w14:textId="321FBF65" w:rsidR="00972A44" w:rsidRPr="00972A44" w:rsidRDefault="00972A44" w:rsidP="00972A44">
      <w:pPr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bookmarkStart w:id="0" w:name="_Hlk124866762"/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Відповідно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структурно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логічної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схеми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освітньо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професійної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програми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кредит»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вивченню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курсу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bookmarkStart w:id="1" w:name="_Hlk157951801"/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установах»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bookmarkEnd w:id="1"/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пов’язано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зв’язками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такими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навчальними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дисциплінами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«Мікроекономіка»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«Економіка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«Статистика»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«Економічний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«Гроші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кредит»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«Банківські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операції»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«Фінанси»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інші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</w:p>
    <w:bookmarkEnd w:id="0"/>
    <w:p w14:paraId="1D041C3A" w14:textId="77777777" w:rsidR="00972A44" w:rsidRPr="00972A44" w:rsidRDefault="00972A44" w:rsidP="00972A44">
      <w:pPr>
        <w:spacing w:after="0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41BBA454" w14:textId="77777777" w:rsidR="00972A44" w:rsidRDefault="00972A44" w:rsidP="00972A44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3. Програма навчальної дисципліни</w:t>
      </w:r>
    </w:p>
    <w:p w14:paraId="5DEFFE5A" w14:textId="77777777" w:rsidR="00476F26" w:rsidRDefault="00476F26" w:rsidP="00972A44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</w:p>
    <w:p w14:paraId="3BBCF53C" w14:textId="386F9513" w:rsidR="003F04EE" w:rsidRDefault="003F04EE" w:rsidP="003F04EE">
      <w:pPr>
        <w:tabs>
          <w:tab w:val="left" w:pos="284"/>
          <w:tab w:val="left" w:pos="56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Змістовий модуль 1.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ТЕОРЕТИЧНІ ТА МЕТОДИЧНІ ЗАСАДИ </w:t>
      </w:r>
      <w:r w:rsidR="00F21F2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ФІНАНСОВОГО </w:t>
      </w:r>
      <w:r w:rsidR="00F21F22"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АНАЛІЗУ</w:t>
      </w:r>
    </w:p>
    <w:p w14:paraId="1AD7410C" w14:textId="77777777" w:rsidR="00476F26" w:rsidRPr="00476F26" w:rsidRDefault="00476F26" w:rsidP="00F21F22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2" w:name="_Hlk157951899"/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1. Значення й основи фінансового аналізу, його інформаційне забезпечення</w:t>
      </w:r>
    </w:p>
    <w:p w14:paraId="4EE72873" w14:textId="2BE21DEF" w:rsidR="00476F26" w:rsidRPr="00476F26" w:rsidRDefault="00476F26" w:rsidP="00855225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Необхідність та сутність фінансового аналізу. Види аналізу (зовнішній та внутрішній). Методи та прийоми фінансового аналізу. </w:t>
      </w:r>
      <w:r w:rsidR="000E58F0" w:rsidRP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Експрес-діагностика корпоративної звітності</w:t>
      </w:r>
      <w:r w:rsid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.</w:t>
      </w:r>
      <w:r w:rsidR="000E58F0" w:rsidRP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Схема побудови аналітичного процесу. Взаємозв’язок етапів та напрямів аналізу.</w:t>
      </w:r>
    </w:p>
    <w:p w14:paraId="15079B5F" w14:textId="77777777" w:rsidR="00476F26" w:rsidRPr="00476F26" w:rsidRDefault="00476F26" w:rsidP="00855225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Джерела інформації для проведення фінансового аналізу. Значення та характеристика форм фінансової звітності. Основні вимоги та положення МСФЗ, МСБО та П(С)БО. Необхідність та порядок перетворення бухгалтерського балансу в аналітичний баланс-нетто. Комплекс і класифікація показників оцінки фінансового стану підприємства (установи).</w:t>
      </w:r>
    </w:p>
    <w:p w14:paraId="5FE04BF3" w14:textId="77777777" w:rsidR="00476F26" w:rsidRPr="00476F26" w:rsidRDefault="00476F26" w:rsidP="0085522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3ACE8B36" w14:textId="6757B4AB" w:rsidR="00476F26" w:rsidRPr="00476F26" w:rsidRDefault="00476F26" w:rsidP="0085522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lastRenderedPageBreak/>
        <w:t>Тема 2. Аналіз фінансово</w:t>
      </w:r>
      <w:r w:rsidR="003F04EE" w:rsidRPr="00703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го</w:t>
      </w: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 ст</w:t>
      </w:r>
      <w:r w:rsidR="003F04EE" w:rsidRPr="00703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ану</w:t>
      </w: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 підприємства</w:t>
      </w:r>
    </w:p>
    <w:p w14:paraId="6CA7D140" w14:textId="77777777" w:rsidR="003F04EE" w:rsidRDefault="00476F26" w:rsidP="008552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Сутність та значення фінансової стійкості. Оцінка фінансової стійкості з використанням абсолютних та відносних (коефіцієнтів) показників. Типи фінансової стійкості. </w:t>
      </w:r>
    </w:p>
    <w:p w14:paraId="20BF599B" w14:textId="4AD51C34" w:rsidR="00476F26" w:rsidRDefault="00476F26" w:rsidP="008552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Оцінка ліквідності та платоспроможності, їх значення для аналізу фінансового стану. Порядок розрахунку показників ліквідності і методи їх оцінки. Сутність та значення ділової активності. «Золоте правило» розвитку підприємства. Порядок розрахунку показників економічного зростання.</w:t>
      </w:r>
    </w:p>
    <w:p w14:paraId="3A219C5E" w14:textId="7B57558A" w:rsidR="00703A58" w:rsidRDefault="00703A58" w:rsidP="008552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703A5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 фінансових результатів підприємства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Pr="00703A5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 показників рентабельності. Завдання комплексного фінансового аналізу. Основні методичні підходи до проведення комплексного фінансового аналізу підприємства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.</w:t>
      </w:r>
    </w:p>
    <w:bookmarkEnd w:id="2"/>
    <w:p w14:paraId="5A396980" w14:textId="77777777" w:rsidR="008F252A" w:rsidRPr="00476F26" w:rsidRDefault="008F252A" w:rsidP="008552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30911116" w14:textId="58A35552" w:rsidR="00476F26" w:rsidRDefault="00672D09" w:rsidP="00855225">
      <w:pPr>
        <w:suppressAutoHyphens/>
        <w:spacing w:after="0" w:line="240" w:lineRule="auto"/>
        <w:ind w:left="142" w:firstLine="70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bookmarkStart w:id="3" w:name="_Hlk522979559"/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Змістовий модуль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="00703A58"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ФІНАНСОВИЙ АНАЛІЗ У КОМЕРЦІЙНИХ БАНКАХ</w:t>
      </w:r>
    </w:p>
    <w:p w14:paraId="090B00A2" w14:textId="3B2E819F" w:rsidR="00BC2BA8" w:rsidRPr="00476F26" w:rsidRDefault="00672D09" w:rsidP="00855225">
      <w:pPr>
        <w:suppressAutoHyphens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4" w:name="_Hlk157952408"/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3.</w:t>
      </w:r>
      <w:r w:rsidRPr="001E1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 </w:t>
      </w:r>
      <w:r w:rsidR="00C55474" w:rsidRPr="001E1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Аналіз капіталу комерційного банку</w:t>
      </w:r>
    </w:p>
    <w:bookmarkEnd w:id="3"/>
    <w:p w14:paraId="4849480B" w14:textId="06E4DC5F" w:rsidR="00476F26" w:rsidRDefault="00476F26" w:rsidP="00855225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bCs/>
          <w:iCs/>
          <w:kern w:val="0"/>
          <w:sz w:val="24"/>
          <w:szCs w:val="28"/>
          <w:lang w:val="uk-UA" w:eastAsia="ar-SA"/>
          <w14:ligatures w14:val="none"/>
        </w:rPr>
        <w:t xml:space="preserve">Сутність фінансового аналізу діяльності банків. Аналіз фінансового стану банків. </w:t>
      </w:r>
    </w:p>
    <w:p w14:paraId="3E31E897" w14:textId="77777777" w:rsidR="00C55474" w:rsidRPr="00C55474" w:rsidRDefault="00C55474" w:rsidP="00855225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C5547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Сутність та види банківського капіталу. Основні підходи до аналізу власного капіталу. Оцінка вартості власного капіталу. Статутний капітал та порядок його формування. Аналіз резервного капіталу, спеціальних фондів і резервів банку. Аналіз нерозподіленого прибутку як складової власного капіталу. Аналіз субординованого банківського капіталу. Аналіз власного капіталу банку за допомогою методу коефіцієнтів.</w:t>
      </w:r>
    </w:p>
    <w:p w14:paraId="21EAEA8F" w14:textId="14E6E7D4" w:rsidR="00C55474" w:rsidRPr="00476F26" w:rsidRDefault="00C55474" w:rsidP="00855225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C5547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Економічна сутність зобов’язань банку, завдання аналізу та його інформаційна база. Аналіз динаміки та структури зобов’язань банку. Класифікація зобов’язань банку. Аналіз строкових депозитів. Аналіз депозитів до запитання. Аналіз використання міжбанківського кредиту у формуванні ресурсів банку. Аналіз ефективності формування та використання банківських ресурсів</w:t>
      </w:r>
    </w:p>
    <w:bookmarkEnd w:id="4"/>
    <w:p w14:paraId="3E5D99AD" w14:textId="77777777" w:rsidR="00476F26" w:rsidRPr="00476F26" w:rsidRDefault="00476F26" w:rsidP="00855225">
      <w:pPr>
        <w:suppressAutoHyphens/>
        <w:spacing w:after="0" w:line="240" w:lineRule="auto"/>
        <w:ind w:left="142" w:hanging="87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3EA71E66" w14:textId="717F5997" w:rsidR="00672D09" w:rsidRPr="001E1637" w:rsidRDefault="00476F26" w:rsidP="00855225">
      <w:pPr>
        <w:suppressAutoHyphens/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5" w:name="_Hlk157952935"/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4.</w:t>
      </w:r>
      <w:r w:rsidR="00C55474" w:rsidRPr="001E1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 Аналіз операцій комерційного банку</w:t>
      </w:r>
    </w:p>
    <w:p w14:paraId="46C40FC9" w14:textId="2D17A5A4" w:rsidR="00C55474" w:rsidRDefault="00C55474" w:rsidP="00855225">
      <w:pPr>
        <w:tabs>
          <w:tab w:val="left" w:pos="1418"/>
        </w:tabs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C5547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Зміст та завдання аналізу активних операцій банку. Горизонтальний та вертикальний аналіз активних операцій банку. Коефіцієнтний аналіз якості активів банку.</w:t>
      </w:r>
    </w:p>
    <w:p w14:paraId="7B2E5898" w14:textId="432014CB" w:rsidR="00C55474" w:rsidRDefault="00C55474" w:rsidP="00855225">
      <w:pPr>
        <w:tabs>
          <w:tab w:val="left" w:pos="1418"/>
        </w:tabs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C5547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 масштабів і динаміки кредитних вкладень. Аналіз оборотності позик. Аналіз погашення виданих позик. Аналіз диверсифікації кредитних вкладень. Аналіз структури кредитного портфеля. Оцінки якості кредитного портфеля з погляду ризику. Аналіз якості кредитного портфеля банку з погляду захищеності від можливих втрат. Аналіз дохідності та ефективності кредитних операцій.</w:t>
      </w:r>
    </w:p>
    <w:p w14:paraId="331327ED" w14:textId="73BB5802" w:rsidR="00C55474" w:rsidRDefault="008F252A" w:rsidP="00855225">
      <w:pPr>
        <w:tabs>
          <w:tab w:val="left" w:pos="1418"/>
        </w:tabs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</w:t>
      </w:r>
      <w:r w:rsidR="00624F0C" w:rsidRPr="00624F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наліз операцій банку з цінними паперами.</w:t>
      </w:r>
      <w:r w:rsidR="00624F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="00624F0C" w:rsidRPr="00624F0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Критерії альтернативного вибору фінансових інвестицій. Аналіз дохідності операцій із цінними паперами.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="00FA2427" w:rsidRP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 інших активно-пасивних операцій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(лізингових, </w:t>
      </w:r>
      <w:r w:rsidR="00FA2427" w:rsidRP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факторингових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, </w:t>
      </w:r>
      <w:r w:rsidR="00FA2427" w:rsidRP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форфейтингових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).</w:t>
      </w:r>
    </w:p>
    <w:p w14:paraId="68B2B9DC" w14:textId="0527E314" w:rsidR="00624F0C" w:rsidRDefault="008F252A" w:rsidP="00855225">
      <w:pPr>
        <w:tabs>
          <w:tab w:val="left" w:pos="1418"/>
        </w:tabs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8F252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Аналіз прибутку і рентабельності банку</w:t>
      </w:r>
      <w:bookmarkEnd w:id="5"/>
    </w:p>
    <w:p w14:paraId="7FC9F7D7" w14:textId="77777777" w:rsidR="00C55474" w:rsidRDefault="00C55474" w:rsidP="00855225">
      <w:pPr>
        <w:suppressAutoHyphens/>
        <w:spacing w:after="0" w:line="240" w:lineRule="auto"/>
        <w:ind w:left="142" w:hanging="8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27DD46DC" w14:textId="4D224D45" w:rsidR="00476F26" w:rsidRDefault="00672D09" w:rsidP="00855225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Змістовий модуль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 3.</w:t>
      </w:r>
      <w:r w:rsidR="00476F26"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="008F252A"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АНАЛІЗ В </w:t>
      </w:r>
      <w:bookmarkStart w:id="6" w:name="_Hlk157875512"/>
      <w:r w:rsidR="008F252A"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НЕБАНКІВСЬКИХ ФІНАНСОВИХ УСТАНОВ</w:t>
      </w:r>
      <w:bookmarkEnd w:id="6"/>
      <w:r w:rsidR="008F252A"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АХ</w:t>
      </w:r>
    </w:p>
    <w:p w14:paraId="12C19EC2" w14:textId="15F61258" w:rsidR="00672D09" w:rsidRPr="00476F26" w:rsidRDefault="00672D09" w:rsidP="00855225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7" w:name="_Hlk157953176"/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5</w:t>
      </w:r>
      <w:r w:rsidRPr="001E1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855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Ф</w:t>
      </w: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>інансов</w:t>
      </w:r>
      <w:r w:rsidRPr="001E1637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>ий</w:t>
      </w: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 xml:space="preserve"> аналіз страхової організації</w:t>
      </w:r>
    </w:p>
    <w:p w14:paraId="73BB3F8E" w14:textId="46BFA1D5" w:rsidR="00672D09" w:rsidRDefault="00476F26" w:rsidP="00855225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  <w:t xml:space="preserve">Особливості фінансового аналізу страхової організації. Теоретичні основи аналізу активів і пасивів балансу і коефіцієнтного аналізу. Теоретичні основи оцінки вартості страхової організації. </w:t>
      </w:r>
      <w:r w:rsidR="006F26C3"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  <w:t xml:space="preserve">Аналіз ліквідності та платоспроможності страховика. Аналіз результатів діяльності </w:t>
      </w:r>
      <w:r w:rsidR="006F26C3"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  <w:t>страховика.</w:t>
      </w:r>
    </w:p>
    <w:p w14:paraId="27157723" w14:textId="77777777" w:rsidR="00672D09" w:rsidRDefault="00672D09" w:rsidP="00855225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</w:pPr>
    </w:p>
    <w:p w14:paraId="6EF4248F" w14:textId="5D34A653" w:rsidR="00476F26" w:rsidRPr="00476F26" w:rsidRDefault="00672D09" w:rsidP="0085522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Тема </w:t>
      </w:r>
      <w:r w:rsidRPr="00FA24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 xml:space="preserve">6. </w:t>
      </w:r>
      <w:r w:rsidR="00476F26"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 xml:space="preserve">Особливості фінансового аналізу кредитних спілок та </w:t>
      </w:r>
      <w:r w:rsidR="00F21F22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 xml:space="preserve">інших </w:t>
      </w:r>
      <w:r w:rsidR="00F21F22" w:rsidRPr="00F21F22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ar-SA"/>
          <w14:ligatures w14:val="none"/>
        </w:rPr>
        <w:t>небанківських фінансових установ</w:t>
      </w:r>
      <w:r w:rsidR="00476F26" w:rsidRPr="00476F26">
        <w:rPr>
          <w:rFonts w:ascii="Times New Roman" w:eastAsia="Times New Roman" w:hAnsi="Times New Roman" w:cs="Times New Roman"/>
          <w:bCs/>
          <w:kern w:val="0"/>
          <w:sz w:val="24"/>
          <w:szCs w:val="28"/>
          <w:lang w:val="uk-UA" w:eastAsia="ar-SA"/>
          <w14:ligatures w14:val="none"/>
        </w:rPr>
        <w:t>.</w:t>
      </w:r>
    </w:p>
    <w:p w14:paraId="272B7C75" w14:textId="0BBDE021" w:rsidR="00476F26" w:rsidRPr="00855225" w:rsidRDefault="000B5D56" w:rsidP="00855225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Кредитні спілки як </w:t>
      </w:r>
      <w:r w:rsidR="00855225"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фінансові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кооперативи: міжнародний досвід та українська практика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.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Аналіз капіталу 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кредитних спілок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Аналіз 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ефективн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і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діяльності кредитних </w:t>
      </w:r>
      <w:r w:rsidRPr="000B5D5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lastRenderedPageBreak/>
        <w:t>спілок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F21F22" w:rsidRPr="00F21F2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Особливості фінансового аналізу фінансових компаній</w:t>
      </w:r>
      <w:r w:rsidR="00F21F2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.</w:t>
      </w:r>
      <w:r w:rsidR="00855225" w:rsidRPr="008552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55225" w:rsidRPr="00F21F2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Особливості фінансового аналізу</w:t>
      </w:r>
      <w:r w:rsidR="00855225" w:rsidRPr="008552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55225" w:rsidRPr="00F21F2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лізингодавців</w:t>
      </w:r>
      <w:r w:rsidR="0085522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Фінансовий аналіз діяльності </w:t>
      </w:r>
      <w:r w:rsidR="0085522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ломбарді</w:t>
      </w:r>
      <w:r w:rsidR="0085522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в.</w:t>
      </w:r>
    </w:p>
    <w:bookmarkEnd w:id="7"/>
    <w:p w14:paraId="2578D8D8" w14:textId="77777777" w:rsidR="00476F26" w:rsidRPr="00476F26" w:rsidRDefault="00476F26" w:rsidP="00855225">
      <w:pPr>
        <w:suppressAutoHyphens/>
        <w:spacing w:after="0" w:line="240" w:lineRule="auto"/>
        <w:ind w:left="142" w:hanging="8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2823A1B3" w14:textId="137D1B40" w:rsidR="00476F26" w:rsidRPr="00476F26" w:rsidRDefault="00672D09" w:rsidP="00FA2427">
      <w:pPr>
        <w:suppressAutoHyphens/>
        <w:spacing w:after="0" w:line="240" w:lineRule="auto"/>
        <w:ind w:left="1440" w:hanging="87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Змістовий модуль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 4</w:t>
      </w:r>
      <w:r w:rsidR="00476F26" w:rsidRPr="00476F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FA2427" w:rsidRPr="00FA24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  <w:t>ВИКОРИСТАННЯ РЕЗУЛЬТАТІВ АНАЛІЗУ В УПРАВЛІННІ</w:t>
      </w:r>
    </w:p>
    <w:p w14:paraId="02994DC2" w14:textId="77777777" w:rsidR="00476F26" w:rsidRPr="00476F26" w:rsidRDefault="00476F26" w:rsidP="00FA2427">
      <w:pPr>
        <w:suppressAutoHyphens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4E48BAFB" w14:textId="77777777" w:rsidR="00476F26" w:rsidRPr="00476F26" w:rsidRDefault="00476F26" w:rsidP="008552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8" w:name="_Hlk157953544"/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7. Діагностика кризових явищ на підприємстві</w:t>
      </w:r>
    </w:p>
    <w:p w14:paraId="573A0F2B" w14:textId="77777777" w:rsidR="00476F26" w:rsidRPr="00476F26" w:rsidRDefault="00476F26" w:rsidP="0085522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bookmarkStart w:id="9" w:name="_Hlk523231053"/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Алгоритм інтегральної оцінки загрози банкрутства підприємства. Методи діагностики кризових явищ на рівні господарюючого суб’єкта: зарубіжний та вітчизняний досвід. Визначення тенденції загального та локальних показників. Застосування дискримінантного аналізу при прогнозуванні можливого банкрутства підприємства. Застосування 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SWOT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-аналізу при діагностиці кризових явищ. Вибір стратегії розвитку підприємства як засіб подолання кризових явищ.</w:t>
      </w:r>
    </w:p>
    <w:bookmarkEnd w:id="9"/>
    <w:p w14:paraId="6964C93F" w14:textId="77777777" w:rsidR="00476F26" w:rsidRPr="00476F26" w:rsidRDefault="00476F26" w:rsidP="00FA2427">
      <w:pPr>
        <w:suppressAutoHyphens/>
        <w:spacing w:after="0" w:line="240" w:lineRule="auto"/>
        <w:ind w:left="1440" w:hanging="8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5A8973EA" w14:textId="77777777" w:rsidR="00476F26" w:rsidRPr="00476F26" w:rsidRDefault="00476F26" w:rsidP="00FA2427">
      <w:pPr>
        <w:suppressAutoHyphens/>
        <w:spacing w:after="0" w:line="240" w:lineRule="auto"/>
        <w:ind w:left="1440" w:hanging="87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Тема 8. Прогнозування оптимальної структури капіталу</w:t>
      </w:r>
    </w:p>
    <w:p w14:paraId="6630C5C7" w14:textId="47AF3012" w:rsidR="00476F26" w:rsidRPr="00476F26" w:rsidRDefault="00476F26" w:rsidP="008552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Основні методичні підходи до оптимізації структури капіталу. Управління величиною фінансового левериджу. Оцінка рівн</w:t>
      </w:r>
      <w:r w:rsidR="006F26C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я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фінансового левериджу та факторів, що його формують. Оптимізація структури капіталу за критерієм мінімальної його вартості 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та 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рівн</w:t>
      </w:r>
      <w:r w:rsidR="00FA242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я</w:t>
      </w: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фінансового ризику.</w:t>
      </w:r>
    </w:p>
    <w:p w14:paraId="0F3892DA" w14:textId="57ADA147" w:rsidR="00476F26" w:rsidRDefault="00476F26" w:rsidP="008552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476F2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Основні етапи прогнозування фінансової звітності. Прогнозування статей звіту про фінансові результати. Прогнозування статей балансу.</w:t>
      </w:r>
    </w:p>
    <w:p w14:paraId="499BBD7D" w14:textId="46AB3F82" w:rsidR="001E1637" w:rsidRPr="00476F26" w:rsidRDefault="001E1637" w:rsidP="008552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1E163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Збалансована система показників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(</w:t>
      </w:r>
      <w:r w:rsidRPr="001E163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BSC)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Pr="001E163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Модель PEST-аналізу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0E58F0" w:rsidRP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Модель аналізу SPACE</w:t>
      </w:r>
      <w:r w:rsid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0E58F0" w:rsidRP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Модель Томпсона і Стрикленда</w:t>
      </w:r>
      <w:r w:rsidR="000E58F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</w:p>
    <w:bookmarkEnd w:id="8"/>
    <w:p w14:paraId="37EF9E1D" w14:textId="77777777" w:rsidR="00476F26" w:rsidRPr="00972A44" w:rsidRDefault="00476F26" w:rsidP="00FA2427">
      <w:pPr>
        <w:tabs>
          <w:tab w:val="left" w:pos="284"/>
          <w:tab w:val="left" w:pos="56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</w:p>
    <w:p w14:paraId="172A7799" w14:textId="77777777" w:rsidR="00972A44" w:rsidRPr="00972A44" w:rsidRDefault="00972A44" w:rsidP="00972A44">
      <w:pP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4. Структура навчальної дисципліни</w:t>
      </w:r>
      <w:r w:rsidRPr="00972A4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uk-UA" w:eastAsia="ar-SA"/>
          <w14:ligatures w14:val="none"/>
        </w:rPr>
        <w:t xml:space="preserve"> 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8"/>
        <w:gridCol w:w="806"/>
        <w:gridCol w:w="537"/>
        <w:gridCol w:w="737"/>
        <w:gridCol w:w="606"/>
        <w:gridCol w:w="587"/>
        <w:gridCol w:w="695"/>
        <w:gridCol w:w="708"/>
        <w:gridCol w:w="833"/>
        <w:gridCol w:w="806"/>
        <w:gridCol w:w="845"/>
      </w:tblGrid>
      <w:tr w:rsidR="00972A44" w:rsidRPr="00972A44" w14:paraId="28D75D5C" w14:textId="77777777" w:rsidTr="001B6A6E">
        <w:trPr>
          <w:trHeight w:val="371"/>
        </w:trPr>
        <w:tc>
          <w:tcPr>
            <w:tcW w:w="1413" w:type="dxa"/>
            <w:vMerge w:val="restart"/>
          </w:tcPr>
          <w:p w14:paraId="169A004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bookmarkStart w:id="10" w:name="_Hlk124869942"/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Змістовий модуль</w:t>
            </w:r>
          </w:p>
        </w:tc>
        <w:tc>
          <w:tcPr>
            <w:tcW w:w="838" w:type="dxa"/>
            <w:vMerge w:val="restart"/>
          </w:tcPr>
          <w:p w14:paraId="2D09A54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Усього</w:t>
            </w:r>
          </w:p>
          <w:p w14:paraId="66161D1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годин</w:t>
            </w:r>
          </w:p>
        </w:tc>
        <w:tc>
          <w:tcPr>
            <w:tcW w:w="3273" w:type="dxa"/>
            <w:gridSpan w:val="5"/>
          </w:tcPr>
          <w:p w14:paraId="79679B3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Аудиторні (контактні) години</w:t>
            </w:r>
          </w:p>
        </w:tc>
        <w:tc>
          <w:tcPr>
            <w:tcW w:w="1403" w:type="dxa"/>
            <w:gridSpan w:val="2"/>
            <w:vMerge w:val="restart"/>
          </w:tcPr>
          <w:p w14:paraId="16BAFB0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Самостійна робота, год</w:t>
            </w:r>
          </w:p>
        </w:tc>
        <w:tc>
          <w:tcPr>
            <w:tcW w:w="2484" w:type="dxa"/>
            <w:gridSpan w:val="3"/>
          </w:tcPr>
          <w:p w14:paraId="1E3D183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Система накопичення балів</w:t>
            </w:r>
          </w:p>
        </w:tc>
      </w:tr>
      <w:tr w:rsidR="00972A44" w:rsidRPr="00972A44" w14:paraId="33705DA6" w14:textId="77777777" w:rsidTr="001B6A6E">
        <w:trPr>
          <w:trHeight w:val="841"/>
        </w:trPr>
        <w:tc>
          <w:tcPr>
            <w:tcW w:w="1413" w:type="dxa"/>
            <w:vMerge/>
          </w:tcPr>
          <w:p w14:paraId="692568A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838" w:type="dxa"/>
            <w:vMerge/>
          </w:tcPr>
          <w:p w14:paraId="5B2D1E3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806" w:type="dxa"/>
            <w:vMerge w:val="restart"/>
          </w:tcPr>
          <w:p w14:paraId="6CED29B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 xml:space="preserve">Усього </w:t>
            </w:r>
          </w:p>
          <w:p w14:paraId="6166A72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годин</w:t>
            </w:r>
          </w:p>
        </w:tc>
        <w:tc>
          <w:tcPr>
            <w:tcW w:w="1274" w:type="dxa"/>
            <w:gridSpan w:val="2"/>
          </w:tcPr>
          <w:p w14:paraId="3A2844B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Лекційні Заняття, год</w:t>
            </w:r>
          </w:p>
        </w:tc>
        <w:tc>
          <w:tcPr>
            <w:tcW w:w="1193" w:type="dxa"/>
            <w:gridSpan w:val="2"/>
          </w:tcPr>
          <w:p w14:paraId="35DFD78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Практичні заняття, год</w:t>
            </w:r>
          </w:p>
        </w:tc>
        <w:tc>
          <w:tcPr>
            <w:tcW w:w="1403" w:type="dxa"/>
            <w:gridSpan w:val="2"/>
            <w:vMerge/>
          </w:tcPr>
          <w:p w14:paraId="675C035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833" w:type="dxa"/>
            <w:vMerge w:val="restart"/>
          </w:tcPr>
          <w:p w14:paraId="4FFA4F9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Теор.</w:t>
            </w:r>
          </w:p>
          <w:p w14:paraId="50CC4C4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зав-ня,</w:t>
            </w:r>
          </w:p>
          <w:p w14:paraId="4896A29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 xml:space="preserve"> к-ть балів</w:t>
            </w:r>
          </w:p>
        </w:tc>
        <w:tc>
          <w:tcPr>
            <w:tcW w:w="806" w:type="dxa"/>
            <w:vMerge w:val="restart"/>
          </w:tcPr>
          <w:p w14:paraId="55E79B0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Практ.</w:t>
            </w:r>
          </w:p>
          <w:p w14:paraId="313302C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зав-ня,</w:t>
            </w:r>
          </w:p>
          <w:p w14:paraId="0CFF799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к-ть балів</w:t>
            </w:r>
          </w:p>
        </w:tc>
        <w:tc>
          <w:tcPr>
            <w:tcW w:w="845" w:type="dxa"/>
            <w:vMerge w:val="restart"/>
          </w:tcPr>
          <w:p w14:paraId="3FE79C9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Усього балів</w:t>
            </w:r>
          </w:p>
        </w:tc>
      </w:tr>
      <w:tr w:rsidR="00972A44" w:rsidRPr="00972A44" w14:paraId="7CB455F9" w14:textId="77777777" w:rsidTr="001B6A6E">
        <w:trPr>
          <w:trHeight w:val="769"/>
        </w:trPr>
        <w:tc>
          <w:tcPr>
            <w:tcW w:w="1413" w:type="dxa"/>
            <w:vMerge/>
          </w:tcPr>
          <w:p w14:paraId="78C573A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838" w:type="dxa"/>
            <w:vMerge/>
          </w:tcPr>
          <w:p w14:paraId="49F1EEE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806" w:type="dxa"/>
            <w:vMerge/>
          </w:tcPr>
          <w:p w14:paraId="616636A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537" w:type="dxa"/>
          </w:tcPr>
          <w:p w14:paraId="294AB93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о/дф.</w:t>
            </w:r>
          </w:p>
        </w:tc>
        <w:tc>
          <w:tcPr>
            <w:tcW w:w="737" w:type="dxa"/>
          </w:tcPr>
          <w:p w14:paraId="32B0876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з/дист</w:t>
            </w:r>
          </w:p>
          <w:p w14:paraId="3947C0D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ф.</w:t>
            </w:r>
          </w:p>
        </w:tc>
        <w:tc>
          <w:tcPr>
            <w:tcW w:w="606" w:type="dxa"/>
          </w:tcPr>
          <w:p w14:paraId="10BD5E4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о/д ф.</w:t>
            </w:r>
          </w:p>
        </w:tc>
        <w:tc>
          <w:tcPr>
            <w:tcW w:w="587" w:type="dxa"/>
          </w:tcPr>
          <w:p w14:paraId="4BD5CA4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з/дист</w:t>
            </w:r>
          </w:p>
          <w:p w14:paraId="63BD66B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ф.</w:t>
            </w:r>
          </w:p>
        </w:tc>
        <w:tc>
          <w:tcPr>
            <w:tcW w:w="695" w:type="dxa"/>
          </w:tcPr>
          <w:p w14:paraId="7419AC4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о/д ф.</w:t>
            </w:r>
          </w:p>
        </w:tc>
        <w:tc>
          <w:tcPr>
            <w:tcW w:w="708" w:type="dxa"/>
          </w:tcPr>
          <w:p w14:paraId="17F2218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з/ф.</w:t>
            </w:r>
          </w:p>
        </w:tc>
        <w:tc>
          <w:tcPr>
            <w:tcW w:w="833" w:type="dxa"/>
            <w:vMerge/>
          </w:tcPr>
          <w:p w14:paraId="3EFD829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806" w:type="dxa"/>
            <w:vMerge/>
          </w:tcPr>
          <w:p w14:paraId="1E871A4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845" w:type="dxa"/>
            <w:vMerge/>
          </w:tcPr>
          <w:p w14:paraId="40078CE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</w:tr>
      <w:tr w:rsidR="00972A44" w:rsidRPr="00972A44" w14:paraId="403EE52B" w14:textId="77777777" w:rsidTr="001B6A6E">
        <w:trPr>
          <w:trHeight w:val="241"/>
        </w:trPr>
        <w:tc>
          <w:tcPr>
            <w:tcW w:w="1413" w:type="dxa"/>
          </w:tcPr>
          <w:p w14:paraId="2D53212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</w:t>
            </w:r>
          </w:p>
        </w:tc>
        <w:tc>
          <w:tcPr>
            <w:tcW w:w="838" w:type="dxa"/>
          </w:tcPr>
          <w:p w14:paraId="692C8E9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2</w:t>
            </w:r>
          </w:p>
        </w:tc>
        <w:tc>
          <w:tcPr>
            <w:tcW w:w="806" w:type="dxa"/>
          </w:tcPr>
          <w:p w14:paraId="6D672F7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3</w:t>
            </w:r>
          </w:p>
        </w:tc>
        <w:tc>
          <w:tcPr>
            <w:tcW w:w="537" w:type="dxa"/>
          </w:tcPr>
          <w:p w14:paraId="2A95B92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4</w:t>
            </w:r>
          </w:p>
        </w:tc>
        <w:tc>
          <w:tcPr>
            <w:tcW w:w="737" w:type="dxa"/>
          </w:tcPr>
          <w:p w14:paraId="4CEE13C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5</w:t>
            </w:r>
          </w:p>
        </w:tc>
        <w:tc>
          <w:tcPr>
            <w:tcW w:w="606" w:type="dxa"/>
          </w:tcPr>
          <w:p w14:paraId="6479424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6</w:t>
            </w:r>
          </w:p>
        </w:tc>
        <w:tc>
          <w:tcPr>
            <w:tcW w:w="587" w:type="dxa"/>
          </w:tcPr>
          <w:p w14:paraId="1AF0BC9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7</w:t>
            </w:r>
          </w:p>
        </w:tc>
        <w:tc>
          <w:tcPr>
            <w:tcW w:w="695" w:type="dxa"/>
          </w:tcPr>
          <w:p w14:paraId="207EDC8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8</w:t>
            </w:r>
          </w:p>
        </w:tc>
        <w:tc>
          <w:tcPr>
            <w:tcW w:w="708" w:type="dxa"/>
          </w:tcPr>
          <w:p w14:paraId="3DDFA07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9</w:t>
            </w:r>
          </w:p>
        </w:tc>
        <w:tc>
          <w:tcPr>
            <w:tcW w:w="833" w:type="dxa"/>
          </w:tcPr>
          <w:p w14:paraId="471C5C4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10</w:t>
            </w:r>
          </w:p>
        </w:tc>
        <w:tc>
          <w:tcPr>
            <w:tcW w:w="806" w:type="dxa"/>
          </w:tcPr>
          <w:p w14:paraId="260E236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11</w:t>
            </w:r>
          </w:p>
        </w:tc>
        <w:tc>
          <w:tcPr>
            <w:tcW w:w="845" w:type="dxa"/>
          </w:tcPr>
          <w:p w14:paraId="07721FE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12</w:t>
            </w:r>
          </w:p>
        </w:tc>
      </w:tr>
      <w:tr w:rsidR="00972A44" w:rsidRPr="00972A44" w14:paraId="142FEFF7" w14:textId="77777777" w:rsidTr="001B6A6E">
        <w:trPr>
          <w:trHeight w:val="442"/>
        </w:trPr>
        <w:tc>
          <w:tcPr>
            <w:tcW w:w="1413" w:type="dxa"/>
          </w:tcPr>
          <w:p w14:paraId="47EA6CF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  <w:tc>
          <w:tcPr>
            <w:tcW w:w="838" w:type="dxa"/>
          </w:tcPr>
          <w:p w14:paraId="0762875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15</w:t>
            </w:r>
          </w:p>
        </w:tc>
        <w:tc>
          <w:tcPr>
            <w:tcW w:w="806" w:type="dxa"/>
          </w:tcPr>
          <w:p w14:paraId="69EDC42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537" w:type="dxa"/>
          </w:tcPr>
          <w:p w14:paraId="618AFFE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737" w:type="dxa"/>
          </w:tcPr>
          <w:p w14:paraId="2C893FA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06" w:type="dxa"/>
          </w:tcPr>
          <w:p w14:paraId="285BBC9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587" w:type="dxa"/>
          </w:tcPr>
          <w:p w14:paraId="625FAFC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95" w:type="dxa"/>
          </w:tcPr>
          <w:p w14:paraId="0BE7FA0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9</w:t>
            </w:r>
          </w:p>
        </w:tc>
        <w:tc>
          <w:tcPr>
            <w:tcW w:w="708" w:type="dxa"/>
          </w:tcPr>
          <w:p w14:paraId="5D6ECA7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13</w:t>
            </w:r>
          </w:p>
        </w:tc>
        <w:tc>
          <w:tcPr>
            <w:tcW w:w="833" w:type="dxa"/>
          </w:tcPr>
          <w:p w14:paraId="7E5AD3E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</w:t>
            </w:r>
          </w:p>
        </w:tc>
        <w:tc>
          <w:tcPr>
            <w:tcW w:w="806" w:type="dxa"/>
          </w:tcPr>
          <w:p w14:paraId="7D7F60F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845" w:type="dxa"/>
          </w:tcPr>
          <w:p w14:paraId="1AB7B1E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972A44" w:rsidRPr="00972A44" w14:paraId="728E9D9A" w14:textId="77777777" w:rsidTr="001B6A6E">
        <w:trPr>
          <w:trHeight w:val="545"/>
        </w:trPr>
        <w:tc>
          <w:tcPr>
            <w:tcW w:w="1413" w:type="dxa"/>
          </w:tcPr>
          <w:p w14:paraId="0E15877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2</w:t>
            </w:r>
          </w:p>
        </w:tc>
        <w:tc>
          <w:tcPr>
            <w:tcW w:w="838" w:type="dxa"/>
          </w:tcPr>
          <w:p w14:paraId="6AF989B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15</w:t>
            </w:r>
          </w:p>
        </w:tc>
        <w:tc>
          <w:tcPr>
            <w:tcW w:w="806" w:type="dxa"/>
          </w:tcPr>
          <w:p w14:paraId="0224E38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537" w:type="dxa"/>
          </w:tcPr>
          <w:p w14:paraId="5C39BF2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737" w:type="dxa"/>
          </w:tcPr>
          <w:p w14:paraId="2E66565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06" w:type="dxa"/>
          </w:tcPr>
          <w:p w14:paraId="270A3F8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587" w:type="dxa"/>
          </w:tcPr>
          <w:p w14:paraId="4F344A0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95" w:type="dxa"/>
          </w:tcPr>
          <w:p w14:paraId="2407DD0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9</w:t>
            </w:r>
          </w:p>
        </w:tc>
        <w:tc>
          <w:tcPr>
            <w:tcW w:w="708" w:type="dxa"/>
          </w:tcPr>
          <w:p w14:paraId="5CB75F7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13</w:t>
            </w:r>
          </w:p>
        </w:tc>
        <w:tc>
          <w:tcPr>
            <w:tcW w:w="833" w:type="dxa"/>
          </w:tcPr>
          <w:p w14:paraId="01D7014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</w:t>
            </w:r>
          </w:p>
        </w:tc>
        <w:tc>
          <w:tcPr>
            <w:tcW w:w="806" w:type="dxa"/>
          </w:tcPr>
          <w:p w14:paraId="3057A8A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845" w:type="dxa"/>
          </w:tcPr>
          <w:p w14:paraId="2DECDAB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972A44" w:rsidRPr="00972A44" w14:paraId="0BC56F1E" w14:textId="77777777" w:rsidTr="001B6A6E">
        <w:trPr>
          <w:trHeight w:val="521"/>
        </w:trPr>
        <w:tc>
          <w:tcPr>
            <w:tcW w:w="1413" w:type="dxa"/>
          </w:tcPr>
          <w:p w14:paraId="64410CF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3</w:t>
            </w:r>
          </w:p>
        </w:tc>
        <w:tc>
          <w:tcPr>
            <w:tcW w:w="838" w:type="dxa"/>
          </w:tcPr>
          <w:p w14:paraId="2E9B287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15</w:t>
            </w:r>
          </w:p>
        </w:tc>
        <w:tc>
          <w:tcPr>
            <w:tcW w:w="806" w:type="dxa"/>
          </w:tcPr>
          <w:p w14:paraId="116D053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537" w:type="dxa"/>
          </w:tcPr>
          <w:p w14:paraId="1E6D3B7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737" w:type="dxa"/>
          </w:tcPr>
          <w:p w14:paraId="5F8DFD3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06" w:type="dxa"/>
          </w:tcPr>
          <w:p w14:paraId="65383CC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587" w:type="dxa"/>
          </w:tcPr>
          <w:p w14:paraId="397FE28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95" w:type="dxa"/>
          </w:tcPr>
          <w:p w14:paraId="7A21244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7</w:t>
            </w:r>
          </w:p>
        </w:tc>
        <w:tc>
          <w:tcPr>
            <w:tcW w:w="708" w:type="dxa"/>
          </w:tcPr>
          <w:p w14:paraId="6479F1E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13</w:t>
            </w:r>
          </w:p>
        </w:tc>
        <w:tc>
          <w:tcPr>
            <w:tcW w:w="833" w:type="dxa"/>
          </w:tcPr>
          <w:p w14:paraId="35427F5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</w:t>
            </w:r>
          </w:p>
        </w:tc>
        <w:tc>
          <w:tcPr>
            <w:tcW w:w="806" w:type="dxa"/>
          </w:tcPr>
          <w:p w14:paraId="531C049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845" w:type="dxa"/>
          </w:tcPr>
          <w:p w14:paraId="74E8385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972A44" w:rsidRPr="00972A44" w14:paraId="1ED8E9E9" w14:textId="77777777" w:rsidTr="001B6A6E">
        <w:trPr>
          <w:trHeight w:val="521"/>
        </w:trPr>
        <w:tc>
          <w:tcPr>
            <w:tcW w:w="1413" w:type="dxa"/>
          </w:tcPr>
          <w:p w14:paraId="304496C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4</w:t>
            </w:r>
          </w:p>
        </w:tc>
        <w:tc>
          <w:tcPr>
            <w:tcW w:w="838" w:type="dxa"/>
          </w:tcPr>
          <w:p w14:paraId="5258678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15</w:t>
            </w:r>
          </w:p>
        </w:tc>
        <w:tc>
          <w:tcPr>
            <w:tcW w:w="806" w:type="dxa"/>
          </w:tcPr>
          <w:p w14:paraId="24891BE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537" w:type="dxa"/>
          </w:tcPr>
          <w:p w14:paraId="3AFF858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737" w:type="dxa"/>
          </w:tcPr>
          <w:p w14:paraId="77B1FFA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06" w:type="dxa"/>
          </w:tcPr>
          <w:p w14:paraId="02AA912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587" w:type="dxa"/>
          </w:tcPr>
          <w:p w14:paraId="6490329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95" w:type="dxa"/>
          </w:tcPr>
          <w:p w14:paraId="0AF2343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</w:t>
            </w:r>
          </w:p>
        </w:tc>
        <w:tc>
          <w:tcPr>
            <w:tcW w:w="708" w:type="dxa"/>
          </w:tcPr>
          <w:p w14:paraId="08C8D1A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13</w:t>
            </w:r>
          </w:p>
        </w:tc>
        <w:tc>
          <w:tcPr>
            <w:tcW w:w="833" w:type="dxa"/>
          </w:tcPr>
          <w:p w14:paraId="1B20DB8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</w:t>
            </w:r>
          </w:p>
        </w:tc>
        <w:tc>
          <w:tcPr>
            <w:tcW w:w="806" w:type="dxa"/>
          </w:tcPr>
          <w:p w14:paraId="569373C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845" w:type="dxa"/>
          </w:tcPr>
          <w:p w14:paraId="71CE9FE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972A44" w:rsidRPr="00972A44" w14:paraId="5FEE00B4" w14:textId="77777777" w:rsidTr="001B6A6E">
        <w:trPr>
          <w:trHeight w:val="827"/>
        </w:trPr>
        <w:tc>
          <w:tcPr>
            <w:tcW w:w="1413" w:type="dxa"/>
          </w:tcPr>
          <w:p w14:paraId="029261B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Усього за змістові модулі</w:t>
            </w:r>
          </w:p>
        </w:tc>
        <w:tc>
          <w:tcPr>
            <w:tcW w:w="838" w:type="dxa"/>
          </w:tcPr>
          <w:p w14:paraId="44BA992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60</w:t>
            </w:r>
          </w:p>
        </w:tc>
        <w:tc>
          <w:tcPr>
            <w:tcW w:w="806" w:type="dxa"/>
          </w:tcPr>
          <w:p w14:paraId="4592E69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537" w:type="dxa"/>
          </w:tcPr>
          <w:p w14:paraId="2FA5ACF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737" w:type="dxa"/>
          </w:tcPr>
          <w:p w14:paraId="01E84AD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06" w:type="dxa"/>
          </w:tcPr>
          <w:p w14:paraId="478C7AF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20</w:t>
            </w:r>
          </w:p>
        </w:tc>
        <w:tc>
          <w:tcPr>
            <w:tcW w:w="587" w:type="dxa"/>
          </w:tcPr>
          <w:p w14:paraId="7356338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95" w:type="dxa"/>
          </w:tcPr>
          <w:p w14:paraId="4D0435D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708" w:type="dxa"/>
          </w:tcPr>
          <w:p w14:paraId="3593152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52</w:t>
            </w:r>
          </w:p>
        </w:tc>
        <w:tc>
          <w:tcPr>
            <w:tcW w:w="833" w:type="dxa"/>
          </w:tcPr>
          <w:p w14:paraId="669F905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20</w:t>
            </w:r>
          </w:p>
        </w:tc>
        <w:tc>
          <w:tcPr>
            <w:tcW w:w="806" w:type="dxa"/>
          </w:tcPr>
          <w:p w14:paraId="12727B7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40</w:t>
            </w:r>
          </w:p>
        </w:tc>
        <w:tc>
          <w:tcPr>
            <w:tcW w:w="845" w:type="dxa"/>
          </w:tcPr>
          <w:p w14:paraId="4CF7F7E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  <w14:ligatures w14:val="none"/>
              </w:rPr>
              <w:t>60</w:t>
            </w:r>
          </w:p>
        </w:tc>
      </w:tr>
      <w:tr w:rsidR="00972A44" w:rsidRPr="00972A44" w14:paraId="1901A8A1" w14:textId="77777777" w:rsidTr="001B6A6E">
        <w:trPr>
          <w:trHeight w:val="1125"/>
        </w:trPr>
        <w:tc>
          <w:tcPr>
            <w:tcW w:w="1413" w:type="dxa"/>
          </w:tcPr>
          <w:p w14:paraId="489DE48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Підсумковий семестровий контроль</w:t>
            </w:r>
          </w:p>
          <w:p w14:paraId="6C55523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залік</w:t>
            </w:r>
          </w:p>
        </w:tc>
        <w:tc>
          <w:tcPr>
            <w:tcW w:w="838" w:type="dxa"/>
          </w:tcPr>
          <w:p w14:paraId="204081F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806" w:type="dxa"/>
          </w:tcPr>
          <w:p w14:paraId="65C5D29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537" w:type="dxa"/>
          </w:tcPr>
          <w:p w14:paraId="712CD51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737" w:type="dxa"/>
          </w:tcPr>
          <w:p w14:paraId="5FF8360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606" w:type="dxa"/>
          </w:tcPr>
          <w:p w14:paraId="503CFCC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587" w:type="dxa"/>
          </w:tcPr>
          <w:p w14:paraId="4EB99F5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695" w:type="dxa"/>
          </w:tcPr>
          <w:p w14:paraId="422329B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708" w:type="dxa"/>
          </w:tcPr>
          <w:p w14:paraId="5A04528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833" w:type="dxa"/>
          </w:tcPr>
          <w:p w14:paraId="72DE16D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806" w:type="dxa"/>
          </w:tcPr>
          <w:p w14:paraId="4D1E6F1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845" w:type="dxa"/>
          </w:tcPr>
          <w:p w14:paraId="2397FE4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40</w:t>
            </w:r>
          </w:p>
        </w:tc>
      </w:tr>
      <w:tr w:rsidR="00972A44" w:rsidRPr="00972A44" w14:paraId="146138BC" w14:textId="77777777" w:rsidTr="001B6A6E">
        <w:trPr>
          <w:trHeight w:val="495"/>
        </w:trPr>
        <w:tc>
          <w:tcPr>
            <w:tcW w:w="1413" w:type="dxa"/>
          </w:tcPr>
          <w:p w14:paraId="6FAEF7F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Загалом</w:t>
            </w:r>
          </w:p>
        </w:tc>
        <w:tc>
          <w:tcPr>
            <w:tcW w:w="838" w:type="dxa"/>
          </w:tcPr>
          <w:p w14:paraId="266C740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90</w:t>
            </w:r>
          </w:p>
        </w:tc>
        <w:tc>
          <w:tcPr>
            <w:tcW w:w="806" w:type="dxa"/>
          </w:tcPr>
          <w:p w14:paraId="29AC4FE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537" w:type="dxa"/>
          </w:tcPr>
          <w:p w14:paraId="5282AB4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737" w:type="dxa"/>
          </w:tcPr>
          <w:p w14:paraId="79F0E85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06" w:type="dxa"/>
          </w:tcPr>
          <w:p w14:paraId="2A0EBBA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20</w:t>
            </w:r>
          </w:p>
        </w:tc>
        <w:tc>
          <w:tcPr>
            <w:tcW w:w="587" w:type="dxa"/>
          </w:tcPr>
          <w:p w14:paraId="1242ED2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95" w:type="dxa"/>
          </w:tcPr>
          <w:p w14:paraId="2C9012E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60</w:t>
            </w:r>
          </w:p>
        </w:tc>
        <w:tc>
          <w:tcPr>
            <w:tcW w:w="708" w:type="dxa"/>
          </w:tcPr>
          <w:p w14:paraId="2E323B2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82</w:t>
            </w:r>
          </w:p>
        </w:tc>
        <w:tc>
          <w:tcPr>
            <w:tcW w:w="833" w:type="dxa"/>
          </w:tcPr>
          <w:p w14:paraId="58141E1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30</w:t>
            </w:r>
          </w:p>
        </w:tc>
        <w:tc>
          <w:tcPr>
            <w:tcW w:w="806" w:type="dxa"/>
          </w:tcPr>
          <w:p w14:paraId="16D3007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70</w:t>
            </w:r>
          </w:p>
        </w:tc>
        <w:tc>
          <w:tcPr>
            <w:tcW w:w="845" w:type="dxa"/>
          </w:tcPr>
          <w:p w14:paraId="37C4CFB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100</w:t>
            </w:r>
          </w:p>
        </w:tc>
      </w:tr>
      <w:bookmarkEnd w:id="10"/>
    </w:tbl>
    <w:p w14:paraId="70CA3FF0" w14:textId="77777777" w:rsidR="00972A44" w:rsidRPr="00972A44" w:rsidRDefault="00972A44" w:rsidP="00972A44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p w14:paraId="1A03CA82" w14:textId="77777777" w:rsidR="00972A44" w:rsidRPr="00972A44" w:rsidRDefault="00972A44" w:rsidP="00972A44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5. Теми лекційних занять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767"/>
        <w:gridCol w:w="657"/>
        <w:gridCol w:w="689"/>
      </w:tblGrid>
      <w:tr w:rsidR="00972A44" w:rsidRPr="00972A44" w14:paraId="58CFBE2C" w14:textId="77777777" w:rsidTr="001B6A6E">
        <w:tc>
          <w:tcPr>
            <w:tcW w:w="1243" w:type="dxa"/>
            <w:vMerge w:val="restart"/>
          </w:tcPr>
          <w:p w14:paraId="1E7C9B7F" w14:textId="77777777" w:rsidR="00972A44" w:rsidRPr="00972A44" w:rsidRDefault="00972A44" w:rsidP="00972A44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bookmarkStart w:id="11" w:name="_Hlk124871067"/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№ змістового </w:t>
            </w:r>
          </w:p>
          <w:p w14:paraId="2D660871" w14:textId="77777777" w:rsidR="00972A44" w:rsidRPr="00972A44" w:rsidRDefault="00972A44" w:rsidP="00972A44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модуля</w:t>
            </w:r>
          </w:p>
        </w:tc>
        <w:tc>
          <w:tcPr>
            <w:tcW w:w="6767" w:type="dxa"/>
            <w:vMerge w:val="restart"/>
          </w:tcPr>
          <w:p w14:paraId="3E5E9E75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Назва теми</w:t>
            </w:r>
          </w:p>
        </w:tc>
        <w:tc>
          <w:tcPr>
            <w:tcW w:w="1346" w:type="dxa"/>
            <w:gridSpan w:val="2"/>
          </w:tcPr>
          <w:p w14:paraId="4EF1CC5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Кількість</w:t>
            </w:r>
          </w:p>
          <w:p w14:paraId="2D3802C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lastRenderedPageBreak/>
              <w:t>годин</w:t>
            </w:r>
          </w:p>
        </w:tc>
      </w:tr>
      <w:tr w:rsidR="00972A44" w:rsidRPr="00972A44" w14:paraId="3ED7918D" w14:textId="77777777" w:rsidTr="001B6A6E">
        <w:trPr>
          <w:trHeight w:val="268"/>
        </w:trPr>
        <w:tc>
          <w:tcPr>
            <w:tcW w:w="1243" w:type="dxa"/>
            <w:vMerge/>
          </w:tcPr>
          <w:p w14:paraId="34BF8011" w14:textId="77777777" w:rsidR="00972A44" w:rsidRPr="00972A44" w:rsidRDefault="00972A44" w:rsidP="00972A44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6767" w:type="dxa"/>
            <w:vMerge/>
          </w:tcPr>
          <w:p w14:paraId="31A0DD1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657" w:type="dxa"/>
          </w:tcPr>
          <w:p w14:paraId="034EE885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о/д ф.</w:t>
            </w:r>
          </w:p>
        </w:tc>
        <w:tc>
          <w:tcPr>
            <w:tcW w:w="689" w:type="dxa"/>
          </w:tcPr>
          <w:p w14:paraId="053AE10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з. ф.</w:t>
            </w:r>
          </w:p>
        </w:tc>
      </w:tr>
      <w:tr w:rsidR="00972A44" w:rsidRPr="00972A44" w14:paraId="03E25C11" w14:textId="77777777" w:rsidTr="001B6A6E">
        <w:trPr>
          <w:trHeight w:val="117"/>
        </w:trPr>
        <w:tc>
          <w:tcPr>
            <w:tcW w:w="1243" w:type="dxa"/>
          </w:tcPr>
          <w:p w14:paraId="6EF7AE0B" w14:textId="77777777" w:rsidR="00972A44" w:rsidRPr="00972A44" w:rsidRDefault="00972A44" w:rsidP="00972A44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</w:t>
            </w:r>
          </w:p>
        </w:tc>
        <w:tc>
          <w:tcPr>
            <w:tcW w:w="6767" w:type="dxa"/>
          </w:tcPr>
          <w:p w14:paraId="2EDCD92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2</w:t>
            </w:r>
          </w:p>
        </w:tc>
        <w:tc>
          <w:tcPr>
            <w:tcW w:w="657" w:type="dxa"/>
          </w:tcPr>
          <w:p w14:paraId="698287A6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3</w:t>
            </w:r>
          </w:p>
        </w:tc>
        <w:tc>
          <w:tcPr>
            <w:tcW w:w="689" w:type="dxa"/>
          </w:tcPr>
          <w:p w14:paraId="4F9AE22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4</w:t>
            </w:r>
          </w:p>
        </w:tc>
      </w:tr>
      <w:tr w:rsidR="00972A44" w:rsidRPr="00972A44" w14:paraId="2AB5D4A3" w14:textId="77777777" w:rsidTr="001B6A6E">
        <w:tc>
          <w:tcPr>
            <w:tcW w:w="1243" w:type="dxa"/>
          </w:tcPr>
          <w:p w14:paraId="1DF2BB9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767" w:type="dxa"/>
          </w:tcPr>
          <w:p w14:paraId="04143BCC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bookmarkStart w:id="12" w:name="_Hlk81986037"/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Теоретичні та методичні засади фінансового аналізу</w:t>
            </w:r>
            <w:bookmarkEnd w:id="12"/>
          </w:p>
        </w:tc>
        <w:tc>
          <w:tcPr>
            <w:tcW w:w="657" w:type="dxa"/>
          </w:tcPr>
          <w:p w14:paraId="1746B8B5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2</w:t>
            </w:r>
          </w:p>
        </w:tc>
        <w:tc>
          <w:tcPr>
            <w:tcW w:w="689" w:type="dxa"/>
          </w:tcPr>
          <w:p w14:paraId="0F28C90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05D84E5B" w14:textId="77777777" w:rsidTr="001B6A6E">
        <w:tc>
          <w:tcPr>
            <w:tcW w:w="1243" w:type="dxa"/>
          </w:tcPr>
          <w:p w14:paraId="1CAB2DA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6767" w:type="dxa"/>
          </w:tcPr>
          <w:p w14:paraId="6E045C73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Аналіз фінансового стану підприємства</w:t>
            </w:r>
          </w:p>
        </w:tc>
        <w:tc>
          <w:tcPr>
            <w:tcW w:w="657" w:type="dxa"/>
          </w:tcPr>
          <w:p w14:paraId="385BABB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2</w:t>
            </w:r>
          </w:p>
        </w:tc>
        <w:tc>
          <w:tcPr>
            <w:tcW w:w="689" w:type="dxa"/>
          </w:tcPr>
          <w:p w14:paraId="2FD7D377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16EFF04F" w14:textId="77777777" w:rsidTr="001B6A6E">
        <w:tc>
          <w:tcPr>
            <w:tcW w:w="1243" w:type="dxa"/>
          </w:tcPr>
          <w:p w14:paraId="5642AF88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</w:p>
        </w:tc>
        <w:tc>
          <w:tcPr>
            <w:tcW w:w="6767" w:type="dxa"/>
          </w:tcPr>
          <w:p w14:paraId="5754D044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Фінансовий аналіз у фінансових установах</w:t>
            </w:r>
          </w:p>
        </w:tc>
        <w:tc>
          <w:tcPr>
            <w:tcW w:w="657" w:type="dxa"/>
          </w:tcPr>
          <w:p w14:paraId="6BC6B51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2</w:t>
            </w:r>
          </w:p>
        </w:tc>
        <w:tc>
          <w:tcPr>
            <w:tcW w:w="689" w:type="dxa"/>
          </w:tcPr>
          <w:p w14:paraId="411D2A63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4F18DEA9" w14:textId="77777777" w:rsidTr="001B6A6E">
        <w:tc>
          <w:tcPr>
            <w:tcW w:w="1243" w:type="dxa"/>
          </w:tcPr>
          <w:p w14:paraId="0DE2C01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767" w:type="dxa"/>
          </w:tcPr>
          <w:p w14:paraId="4EF037CD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Використання результатів аналізу в управлінні</w:t>
            </w:r>
          </w:p>
        </w:tc>
        <w:tc>
          <w:tcPr>
            <w:tcW w:w="657" w:type="dxa"/>
          </w:tcPr>
          <w:p w14:paraId="7099A09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4</w:t>
            </w:r>
          </w:p>
        </w:tc>
        <w:tc>
          <w:tcPr>
            <w:tcW w:w="689" w:type="dxa"/>
          </w:tcPr>
          <w:p w14:paraId="50B1C67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2EA89420" w14:textId="77777777" w:rsidTr="001B6A6E">
        <w:tc>
          <w:tcPr>
            <w:tcW w:w="8010" w:type="dxa"/>
            <w:gridSpan w:val="2"/>
          </w:tcPr>
          <w:p w14:paraId="0822E226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Разом</w:t>
            </w:r>
          </w:p>
        </w:tc>
        <w:tc>
          <w:tcPr>
            <w:tcW w:w="657" w:type="dxa"/>
          </w:tcPr>
          <w:p w14:paraId="3D4A7CB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10</w:t>
            </w:r>
          </w:p>
        </w:tc>
        <w:tc>
          <w:tcPr>
            <w:tcW w:w="689" w:type="dxa"/>
          </w:tcPr>
          <w:p w14:paraId="6DA0033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4</w:t>
            </w:r>
          </w:p>
        </w:tc>
      </w:tr>
      <w:bookmarkEnd w:id="11"/>
    </w:tbl>
    <w:p w14:paraId="14475131" w14:textId="77777777" w:rsidR="00972A44" w:rsidRPr="00972A44" w:rsidRDefault="00972A44" w:rsidP="00972A44">
      <w:pPr>
        <w:suppressAutoHyphens/>
        <w:spacing w:after="0" w:line="240" w:lineRule="auto"/>
        <w:ind w:left="7513" w:hanging="7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p w14:paraId="0F0275CF" w14:textId="77777777" w:rsidR="00972A44" w:rsidRPr="00972A44" w:rsidRDefault="00972A44" w:rsidP="00972A44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6. Теми практичних занять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779"/>
        <w:gridCol w:w="598"/>
        <w:gridCol w:w="736"/>
      </w:tblGrid>
      <w:tr w:rsidR="00972A44" w:rsidRPr="00972A44" w14:paraId="5800B215" w14:textId="77777777" w:rsidTr="001B6A6E">
        <w:tc>
          <w:tcPr>
            <w:tcW w:w="1243" w:type="dxa"/>
            <w:vMerge w:val="restart"/>
          </w:tcPr>
          <w:p w14:paraId="6C6E31BB" w14:textId="77777777" w:rsidR="00972A44" w:rsidRPr="00972A44" w:rsidRDefault="00972A44" w:rsidP="00972A44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№ змістового </w:t>
            </w:r>
          </w:p>
          <w:p w14:paraId="5A76C13A" w14:textId="77777777" w:rsidR="00972A44" w:rsidRPr="00972A44" w:rsidRDefault="00972A44" w:rsidP="00972A44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модуля</w:t>
            </w:r>
          </w:p>
        </w:tc>
        <w:tc>
          <w:tcPr>
            <w:tcW w:w="6779" w:type="dxa"/>
            <w:vMerge w:val="restart"/>
          </w:tcPr>
          <w:p w14:paraId="18DFB64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Назва теми</w:t>
            </w:r>
          </w:p>
        </w:tc>
        <w:tc>
          <w:tcPr>
            <w:tcW w:w="1334" w:type="dxa"/>
            <w:gridSpan w:val="2"/>
          </w:tcPr>
          <w:p w14:paraId="59614E7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Кількість</w:t>
            </w:r>
          </w:p>
          <w:p w14:paraId="050CD2D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годин</w:t>
            </w:r>
          </w:p>
        </w:tc>
      </w:tr>
      <w:tr w:rsidR="00972A44" w:rsidRPr="00972A44" w14:paraId="049EF575" w14:textId="77777777" w:rsidTr="001B6A6E">
        <w:trPr>
          <w:trHeight w:val="164"/>
        </w:trPr>
        <w:tc>
          <w:tcPr>
            <w:tcW w:w="1243" w:type="dxa"/>
            <w:vMerge/>
          </w:tcPr>
          <w:p w14:paraId="2DBCA9C5" w14:textId="77777777" w:rsidR="00972A44" w:rsidRPr="00972A44" w:rsidRDefault="00972A44" w:rsidP="00972A44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6779" w:type="dxa"/>
            <w:vMerge/>
          </w:tcPr>
          <w:p w14:paraId="39C9B1C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598" w:type="dxa"/>
          </w:tcPr>
          <w:p w14:paraId="09B4DBA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о/д</w:t>
            </w:r>
          </w:p>
          <w:p w14:paraId="7A5B8BC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ф.</w:t>
            </w:r>
          </w:p>
        </w:tc>
        <w:tc>
          <w:tcPr>
            <w:tcW w:w="736" w:type="dxa"/>
          </w:tcPr>
          <w:p w14:paraId="250D4F2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з/дист</w:t>
            </w:r>
          </w:p>
          <w:p w14:paraId="0AA204CD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ф.</w:t>
            </w:r>
          </w:p>
        </w:tc>
      </w:tr>
      <w:tr w:rsidR="00972A44" w:rsidRPr="00972A44" w14:paraId="65B6BF1E" w14:textId="77777777" w:rsidTr="001B6A6E">
        <w:trPr>
          <w:trHeight w:val="134"/>
        </w:trPr>
        <w:tc>
          <w:tcPr>
            <w:tcW w:w="1243" w:type="dxa"/>
          </w:tcPr>
          <w:p w14:paraId="613B39D5" w14:textId="77777777" w:rsidR="00972A44" w:rsidRPr="00972A44" w:rsidRDefault="00972A44" w:rsidP="00972A44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1</w:t>
            </w:r>
          </w:p>
        </w:tc>
        <w:tc>
          <w:tcPr>
            <w:tcW w:w="6779" w:type="dxa"/>
          </w:tcPr>
          <w:p w14:paraId="3826804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2</w:t>
            </w:r>
          </w:p>
        </w:tc>
        <w:tc>
          <w:tcPr>
            <w:tcW w:w="598" w:type="dxa"/>
          </w:tcPr>
          <w:p w14:paraId="38145D8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3</w:t>
            </w:r>
          </w:p>
        </w:tc>
        <w:tc>
          <w:tcPr>
            <w:tcW w:w="736" w:type="dxa"/>
          </w:tcPr>
          <w:p w14:paraId="00555BFE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4</w:t>
            </w:r>
          </w:p>
        </w:tc>
      </w:tr>
      <w:tr w:rsidR="00972A44" w:rsidRPr="00972A44" w14:paraId="2975BE46" w14:textId="77777777" w:rsidTr="001B6A6E">
        <w:tc>
          <w:tcPr>
            <w:tcW w:w="1243" w:type="dxa"/>
          </w:tcPr>
          <w:p w14:paraId="2ECEC34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6779" w:type="dxa"/>
          </w:tcPr>
          <w:p w14:paraId="4D2774A8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Теоретичні та методичні засади фінансового аналізу</w:t>
            </w:r>
          </w:p>
        </w:tc>
        <w:tc>
          <w:tcPr>
            <w:tcW w:w="598" w:type="dxa"/>
          </w:tcPr>
          <w:p w14:paraId="7DB32B6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4</w:t>
            </w:r>
          </w:p>
        </w:tc>
        <w:tc>
          <w:tcPr>
            <w:tcW w:w="736" w:type="dxa"/>
          </w:tcPr>
          <w:p w14:paraId="5D949DC7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70318010" w14:textId="77777777" w:rsidTr="001B6A6E">
        <w:tc>
          <w:tcPr>
            <w:tcW w:w="1243" w:type="dxa"/>
          </w:tcPr>
          <w:p w14:paraId="25115B3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bookmarkStart w:id="13" w:name="_Hlk81986115"/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6779" w:type="dxa"/>
          </w:tcPr>
          <w:p w14:paraId="25E6553B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Аналіз фінансового стану підприємства</w:t>
            </w:r>
          </w:p>
        </w:tc>
        <w:tc>
          <w:tcPr>
            <w:tcW w:w="598" w:type="dxa"/>
          </w:tcPr>
          <w:p w14:paraId="10608E01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736" w:type="dxa"/>
          </w:tcPr>
          <w:p w14:paraId="6334807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24CE96BC" w14:textId="77777777" w:rsidTr="001B6A6E">
        <w:tc>
          <w:tcPr>
            <w:tcW w:w="1243" w:type="dxa"/>
          </w:tcPr>
          <w:p w14:paraId="360AEB69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</w:p>
        </w:tc>
        <w:tc>
          <w:tcPr>
            <w:tcW w:w="6779" w:type="dxa"/>
          </w:tcPr>
          <w:p w14:paraId="5BF5EFE3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Фінансовий аналіз у фінансових установах</w:t>
            </w:r>
          </w:p>
        </w:tc>
        <w:tc>
          <w:tcPr>
            <w:tcW w:w="598" w:type="dxa"/>
          </w:tcPr>
          <w:p w14:paraId="0500C204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736" w:type="dxa"/>
          </w:tcPr>
          <w:p w14:paraId="091FD22C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</w:tr>
      <w:tr w:rsidR="00972A44" w:rsidRPr="00972A44" w14:paraId="015D6CA9" w14:textId="77777777" w:rsidTr="001B6A6E">
        <w:tc>
          <w:tcPr>
            <w:tcW w:w="1243" w:type="dxa"/>
          </w:tcPr>
          <w:p w14:paraId="24797F58" w14:textId="11087F63" w:rsidR="00972A44" w:rsidRPr="00972A44" w:rsidRDefault="004F7C2B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6779" w:type="dxa"/>
          </w:tcPr>
          <w:p w14:paraId="64170CA9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Використання результатів аналізу в управлінні</w:t>
            </w:r>
          </w:p>
        </w:tc>
        <w:tc>
          <w:tcPr>
            <w:tcW w:w="598" w:type="dxa"/>
          </w:tcPr>
          <w:p w14:paraId="634DAA5A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6</w:t>
            </w:r>
          </w:p>
        </w:tc>
        <w:tc>
          <w:tcPr>
            <w:tcW w:w="736" w:type="dxa"/>
          </w:tcPr>
          <w:p w14:paraId="358D1B4F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1</w:t>
            </w:r>
          </w:p>
        </w:tc>
      </w:tr>
      <w:bookmarkEnd w:id="13"/>
      <w:tr w:rsidR="00972A44" w:rsidRPr="00972A44" w14:paraId="7DA37F53" w14:textId="77777777" w:rsidTr="001B6A6E">
        <w:tc>
          <w:tcPr>
            <w:tcW w:w="8022" w:type="dxa"/>
            <w:gridSpan w:val="2"/>
          </w:tcPr>
          <w:p w14:paraId="781E4364" w14:textId="77777777" w:rsidR="00972A44" w:rsidRPr="00972A44" w:rsidRDefault="00972A44" w:rsidP="00972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Разом</w:t>
            </w:r>
          </w:p>
        </w:tc>
        <w:tc>
          <w:tcPr>
            <w:tcW w:w="598" w:type="dxa"/>
          </w:tcPr>
          <w:p w14:paraId="3C0C55C8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20</w:t>
            </w:r>
          </w:p>
        </w:tc>
        <w:tc>
          <w:tcPr>
            <w:tcW w:w="736" w:type="dxa"/>
          </w:tcPr>
          <w:p w14:paraId="4043A1D0" w14:textId="77777777" w:rsidR="00972A44" w:rsidRPr="00972A44" w:rsidRDefault="00972A44" w:rsidP="00972A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  <w14:ligatures w14:val="none"/>
              </w:rPr>
              <w:t>4</w:t>
            </w:r>
          </w:p>
        </w:tc>
      </w:tr>
    </w:tbl>
    <w:p w14:paraId="0458A065" w14:textId="77777777" w:rsidR="00972A44" w:rsidRPr="00972A44" w:rsidRDefault="00972A44" w:rsidP="00972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p w14:paraId="570E054D" w14:textId="77777777" w:rsidR="00972A44" w:rsidRPr="00972A44" w:rsidRDefault="00972A44" w:rsidP="00972A4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bookmarkStart w:id="14" w:name="_Hlk124871543"/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 xml:space="preserve">Види і зміст поточних контрольних заходів </w:t>
      </w:r>
    </w:p>
    <w:bookmarkEnd w:id="14"/>
    <w:p w14:paraId="4FEE472B" w14:textId="77777777" w:rsidR="00972A44" w:rsidRPr="00972A44" w:rsidRDefault="00972A44" w:rsidP="00972A44">
      <w:p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3260"/>
        <w:gridCol w:w="926"/>
      </w:tblGrid>
      <w:tr w:rsidR="00972A44" w:rsidRPr="00972A44" w14:paraId="3E5EF2B4" w14:textId="77777777" w:rsidTr="001B6A6E">
        <w:trPr>
          <w:trHeight w:val="803"/>
        </w:trPr>
        <w:tc>
          <w:tcPr>
            <w:tcW w:w="1134" w:type="dxa"/>
          </w:tcPr>
          <w:p w14:paraId="032D218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bookmarkStart w:id="15" w:name="_Hlk124871604"/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№ змістового модуля</w:t>
            </w:r>
          </w:p>
        </w:tc>
        <w:tc>
          <w:tcPr>
            <w:tcW w:w="2127" w:type="dxa"/>
          </w:tcPr>
          <w:p w14:paraId="756CEB65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Види поточних контрольних заходів</w:t>
            </w:r>
          </w:p>
        </w:tc>
        <w:tc>
          <w:tcPr>
            <w:tcW w:w="1984" w:type="dxa"/>
          </w:tcPr>
          <w:p w14:paraId="6E8F855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Зміст поточного контрольного заходу</w:t>
            </w:r>
          </w:p>
        </w:tc>
        <w:tc>
          <w:tcPr>
            <w:tcW w:w="3260" w:type="dxa"/>
          </w:tcPr>
          <w:p w14:paraId="12FB50E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Критерії оцінювання</w:t>
            </w:r>
          </w:p>
        </w:tc>
        <w:tc>
          <w:tcPr>
            <w:tcW w:w="926" w:type="dxa"/>
          </w:tcPr>
          <w:p w14:paraId="4E5C1A0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Усього балів</w:t>
            </w:r>
          </w:p>
        </w:tc>
      </w:tr>
      <w:tr w:rsidR="00972A44" w:rsidRPr="00972A44" w14:paraId="544FF9E4" w14:textId="77777777" w:rsidTr="001B6A6E">
        <w:trPr>
          <w:trHeight w:val="344"/>
        </w:trPr>
        <w:tc>
          <w:tcPr>
            <w:tcW w:w="1134" w:type="dxa"/>
          </w:tcPr>
          <w:p w14:paraId="5B91C8C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02CFFE3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1984" w:type="dxa"/>
          </w:tcPr>
          <w:p w14:paraId="0057625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3</w:t>
            </w:r>
          </w:p>
        </w:tc>
        <w:tc>
          <w:tcPr>
            <w:tcW w:w="3260" w:type="dxa"/>
          </w:tcPr>
          <w:p w14:paraId="336544F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926" w:type="dxa"/>
          </w:tcPr>
          <w:p w14:paraId="4F142EB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5</w:t>
            </w:r>
          </w:p>
        </w:tc>
      </w:tr>
      <w:tr w:rsidR="00972A44" w:rsidRPr="00972A44" w14:paraId="72A0A7EE" w14:textId="77777777" w:rsidTr="001B6A6E">
        <w:trPr>
          <w:trHeight w:val="255"/>
        </w:trPr>
        <w:tc>
          <w:tcPr>
            <w:tcW w:w="1134" w:type="dxa"/>
            <w:vMerge w:val="restart"/>
          </w:tcPr>
          <w:p w14:paraId="1B32858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7C38925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Індивідуальне усне опитування під час практичних занять </w:t>
            </w:r>
          </w:p>
        </w:tc>
        <w:tc>
          <w:tcPr>
            <w:tcW w:w="1984" w:type="dxa"/>
          </w:tcPr>
          <w:p w14:paraId="2153ADD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Питання для підготовки до усного опитування, які охоплюють навчальний матеріал відповідного змістового модуля;</w:t>
            </w:r>
          </w:p>
          <w:p w14:paraId="2241B40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питання для власних досліджень</w:t>
            </w:r>
          </w:p>
        </w:tc>
        <w:tc>
          <w:tcPr>
            <w:tcW w:w="3260" w:type="dxa"/>
          </w:tcPr>
          <w:p w14:paraId="4DA53C7A" w14:textId="77777777" w:rsidR="00972A44" w:rsidRPr="00972A44" w:rsidRDefault="00972A44" w:rsidP="00972A44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-</w:t>
            </w: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ab/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 xml:space="preserve">5 балів – відповідь відзначається повнотою виконання без допомоги викладача. </w:t>
            </w:r>
          </w:p>
          <w:p w14:paraId="570DE16C" w14:textId="77777777" w:rsidR="00972A44" w:rsidRPr="00972A44" w:rsidRDefault="00972A44" w:rsidP="00972A44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-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2–4 бали – відповідь і завдання  повні з деякими огріхами, виконані без допомоги викладача.</w:t>
            </w:r>
          </w:p>
          <w:p w14:paraId="4A8DC28D" w14:textId="77777777" w:rsidR="00972A44" w:rsidRPr="00972A44" w:rsidRDefault="00972A44" w:rsidP="00972A44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-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 бал – відповідь  неповна і виконана за допомогою викладача.</w:t>
            </w:r>
          </w:p>
        </w:tc>
        <w:tc>
          <w:tcPr>
            <w:tcW w:w="926" w:type="dxa"/>
          </w:tcPr>
          <w:p w14:paraId="3B6D7EA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ar-SA"/>
                <w14:ligatures w14:val="none"/>
              </w:rPr>
              <w:t>5</w:t>
            </w:r>
          </w:p>
        </w:tc>
      </w:tr>
      <w:tr w:rsidR="00972A44" w:rsidRPr="00972A44" w14:paraId="7CBCFA7E" w14:textId="77777777" w:rsidTr="001B6A6E">
        <w:trPr>
          <w:trHeight w:val="255"/>
        </w:trPr>
        <w:tc>
          <w:tcPr>
            <w:tcW w:w="1134" w:type="dxa"/>
            <w:vMerge/>
          </w:tcPr>
          <w:p w14:paraId="1857387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  <w:tc>
          <w:tcPr>
            <w:tcW w:w="2127" w:type="dxa"/>
          </w:tcPr>
          <w:p w14:paraId="651D1EF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тестування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в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системі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moodle</w:t>
            </w:r>
          </w:p>
        </w:tc>
        <w:tc>
          <w:tcPr>
            <w:tcW w:w="1984" w:type="dxa"/>
          </w:tcPr>
          <w:p w14:paraId="2938DFD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студент відповідає на тестові завдання.</w:t>
            </w:r>
          </w:p>
          <w:p w14:paraId="05F0F2B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Всього 20 тестових завдань</w:t>
            </w:r>
          </w:p>
        </w:tc>
        <w:tc>
          <w:tcPr>
            <w:tcW w:w="3260" w:type="dxa"/>
          </w:tcPr>
          <w:p w14:paraId="079CDAC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</w:pP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За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правильну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відповідь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на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одне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запитання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студент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отримує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 0,2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>бали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uk-UA"/>
                <w14:ligatures w14:val="none"/>
              </w:rPr>
              <w:t xml:space="preserve">. </w:t>
            </w:r>
          </w:p>
          <w:p w14:paraId="2782053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</w:p>
        </w:tc>
        <w:tc>
          <w:tcPr>
            <w:tcW w:w="926" w:type="dxa"/>
          </w:tcPr>
          <w:p w14:paraId="42100C8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Calibri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4</w:t>
            </w:r>
          </w:p>
        </w:tc>
      </w:tr>
      <w:tr w:rsidR="00972A44" w:rsidRPr="00972A44" w14:paraId="78A55208" w14:textId="77777777" w:rsidTr="001B6A6E">
        <w:trPr>
          <w:trHeight w:val="4135"/>
        </w:trPr>
        <w:tc>
          <w:tcPr>
            <w:tcW w:w="1134" w:type="dxa"/>
            <w:vMerge/>
          </w:tcPr>
          <w:p w14:paraId="78E2AC1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2127" w:type="dxa"/>
          </w:tcPr>
          <w:p w14:paraId="2AF17D39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розв’язання вправ і задач під час практичних занять</w:t>
            </w:r>
          </w:p>
        </w:tc>
        <w:tc>
          <w:tcPr>
            <w:tcW w:w="1984" w:type="dxa"/>
          </w:tcPr>
          <w:p w14:paraId="0D5DBF7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-студент розв’язує задачу з роз’ясненнями у дошки (екрана);</w:t>
            </w:r>
          </w:p>
          <w:p w14:paraId="6086DDD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-студенти самостійно розв’язують задачу в кінці занять за варіантами</w:t>
            </w:r>
          </w:p>
        </w:tc>
        <w:tc>
          <w:tcPr>
            <w:tcW w:w="3260" w:type="dxa"/>
          </w:tcPr>
          <w:p w14:paraId="30F9885A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За розв’язання практичних задач бали нараховуються за такою схемою:</w:t>
            </w:r>
          </w:p>
          <w:p w14:paraId="6FF0B936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6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 xml:space="preserve"> балів – студент правильно з поясненнями розв’язав задачу;</w:t>
            </w:r>
          </w:p>
          <w:p w14:paraId="00FE48A1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4-5 бали – студент розв’язав задачу правильно, але з незначними помилками;</w:t>
            </w:r>
          </w:p>
          <w:p w14:paraId="3634ED47" w14:textId="77777777" w:rsidR="00972A44" w:rsidRPr="00972A44" w:rsidRDefault="00972A44" w:rsidP="00972A44">
            <w:pPr>
              <w:widowControl w:val="0"/>
              <w:numPr>
                <w:ilvl w:val="0"/>
                <w:numId w:val="3"/>
              </w:numPr>
              <w:tabs>
                <w:tab w:val="left" w:pos="73"/>
                <w:tab w:val="left" w:pos="215"/>
              </w:tabs>
              <w:suppressAutoHyphens/>
              <w:spacing w:after="0" w:line="240" w:lineRule="auto"/>
              <w:ind w:left="600" w:hanging="60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2-3 бали – студент частково розв’язав задачу;</w:t>
            </w:r>
          </w:p>
          <w:p w14:paraId="277F9DC1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 бал – студент правильно виписав формули за якими розв’язується задача;</w:t>
            </w:r>
          </w:p>
          <w:p w14:paraId="65D3B5B3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Критерії оцінювання розміщено на сторінці курсу у Moodle: https://moodle.znu.edu.ua/course/view.php?id=2930</w:t>
            </w:r>
          </w:p>
          <w:p w14:paraId="05EE83E6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</w:p>
        </w:tc>
        <w:tc>
          <w:tcPr>
            <w:tcW w:w="926" w:type="dxa"/>
          </w:tcPr>
          <w:p w14:paraId="2A46C94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eastAsia="ar-SA"/>
                <w14:ligatures w14:val="none"/>
              </w:rPr>
              <w:t>6</w:t>
            </w:r>
          </w:p>
        </w:tc>
      </w:tr>
      <w:tr w:rsidR="00972A44" w:rsidRPr="00972A44" w14:paraId="63637E6F" w14:textId="77777777" w:rsidTr="001B6A6E">
        <w:trPr>
          <w:trHeight w:val="607"/>
        </w:trPr>
        <w:tc>
          <w:tcPr>
            <w:tcW w:w="1134" w:type="dxa"/>
          </w:tcPr>
          <w:p w14:paraId="7948EC8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Усього за ЗМ 1</w:t>
            </w:r>
          </w:p>
        </w:tc>
        <w:tc>
          <w:tcPr>
            <w:tcW w:w="2127" w:type="dxa"/>
          </w:tcPr>
          <w:p w14:paraId="7DA7A99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t>3</w:t>
            </w:r>
          </w:p>
        </w:tc>
        <w:tc>
          <w:tcPr>
            <w:tcW w:w="1984" w:type="dxa"/>
          </w:tcPr>
          <w:p w14:paraId="242149D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3260" w:type="dxa"/>
          </w:tcPr>
          <w:p w14:paraId="2C1A8410" w14:textId="77777777" w:rsidR="00972A44" w:rsidRPr="00972A44" w:rsidRDefault="00972A44" w:rsidP="00972A44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926" w:type="dxa"/>
          </w:tcPr>
          <w:p w14:paraId="1049342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t>15</w:t>
            </w:r>
          </w:p>
        </w:tc>
      </w:tr>
      <w:tr w:rsidR="00972A44" w:rsidRPr="00972A44" w14:paraId="30601ED4" w14:textId="77777777" w:rsidTr="001B6A6E">
        <w:trPr>
          <w:trHeight w:val="828"/>
        </w:trPr>
        <w:tc>
          <w:tcPr>
            <w:tcW w:w="1134" w:type="dxa"/>
          </w:tcPr>
          <w:p w14:paraId="7AF64B3A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ar-SA"/>
                <w14:ligatures w14:val="none"/>
              </w:rPr>
              <w:t>2 - 5</w:t>
            </w:r>
          </w:p>
        </w:tc>
        <w:tc>
          <w:tcPr>
            <w:tcW w:w="7371" w:type="dxa"/>
            <w:gridSpan w:val="3"/>
          </w:tcPr>
          <w:p w14:paraId="55B0E748" w14:textId="77777777" w:rsidR="00972A44" w:rsidRPr="00972A44" w:rsidRDefault="00972A44" w:rsidP="00972A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 xml:space="preserve">За кожним наступним змістовним модулем (з ЗМ2 по ЗМ4) передбачено виконання також трьох контрольних заходів, зміст та критерії оцінювання яких аналогічні зазначеним в ЗМ1. </w:t>
            </w:r>
          </w:p>
        </w:tc>
        <w:tc>
          <w:tcPr>
            <w:tcW w:w="926" w:type="dxa"/>
          </w:tcPr>
          <w:p w14:paraId="7EA58EB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15 х3= 45</w:t>
            </w:r>
          </w:p>
        </w:tc>
      </w:tr>
      <w:tr w:rsidR="00972A44" w:rsidRPr="00972A44" w14:paraId="164C0BDA" w14:textId="77777777" w:rsidTr="001B6A6E">
        <w:tc>
          <w:tcPr>
            <w:tcW w:w="1134" w:type="dxa"/>
          </w:tcPr>
          <w:p w14:paraId="728B6EAC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  <w:t>Усього за змістові модулі</w:t>
            </w:r>
          </w:p>
        </w:tc>
        <w:tc>
          <w:tcPr>
            <w:tcW w:w="2127" w:type="dxa"/>
          </w:tcPr>
          <w:p w14:paraId="6A21BD8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t>15</w:t>
            </w:r>
          </w:p>
        </w:tc>
        <w:tc>
          <w:tcPr>
            <w:tcW w:w="1984" w:type="dxa"/>
          </w:tcPr>
          <w:p w14:paraId="2B701C5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3260" w:type="dxa"/>
          </w:tcPr>
          <w:p w14:paraId="06FBEF9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926" w:type="dxa"/>
          </w:tcPr>
          <w:p w14:paraId="0A23B10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t>60</w:t>
            </w:r>
          </w:p>
        </w:tc>
      </w:tr>
    </w:tbl>
    <w:p w14:paraId="7E6F72A6" w14:textId="77777777" w:rsidR="00972A44" w:rsidRPr="00972A44" w:rsidRDefault="00972A44" w:rsidP="00972A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lang w:val="uk-UA" w:eastAsia="ar-SA"/>
          <w14:ligatures w14:val="none"/>
        </w:rPr>
      </w:pPr>
      <w:bookmarkStart w:id="16" w:name="_Hlk124871852"/>
      <w:bookmarkEnd w:id="15"/>
      <w:r w:rsidRPr="00972A44">
        <w:rPr>
          <w:rFonts w:ascii="Times New Roman" w:eastAsia="Times New Roman" w:hAnsi="Times New Roman" w:cs="Times New Roman"/>
          <w:bCs/>
          <w:kern w:val="0"/>
          <w:lang w:val="uk-UA" w:eastAsia="ar-SA"/>
          <w14:ligatures w14:val="none"/>
        </w:rPr>
        <w:t xml:space="preserve">Примітка: В разі впровадження </w:t>
      </w:r>
      <w:r w:rsidRPr="00972A44">
        <w:rPr>
          <w:rFonts w:ascii="Times New Roman" w:eastAsia="Times New Roman" w:hAnsi="Times New Roman" w:cs="Times New Roman"/>
          <w:bCs/>
          <w:kern w:val="0"/>
          <w:lang w:val="en-US" w:eastAsia="ar-SA"/>
          <w14:ligatures w14:val="none"/>
        </w:rPr>
        <w:t>on</w:t>
      </w:r>
      <w:r w:rsidRPr="00972A44">
        <w:rPr>
          <w:rFonts w:ascii="Times New Roman" w:eastAsia="Times New Roman" w:hAnsi="Times New Roman" w:cs="Times New Roman"/>
          <w:bCs/>
          <w:kern w:val="0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bCs/>
          <w:kern w:val="0"/>
          <w:lang w:val="en-US" w:eastAsia="ar-SA"/>
          <w14:ligatures w14:val="none"/>
        </w:rPr>
        <w:t>line</w:t>
      </w:r>
      <w:r w:rsidRPr="00972A44">
        <w:rPr>
          <w:rFonts w:ascii="Times New Roman" w:eastAsia="Times New Roman" w:hAnsi="Times New Roman" w:cs="Times New Roman"/>
          <w:bCs/>
          <w:kern w:val="0"/>
          <w:lang w:val="uk-UA" w:eastAsia="ar-SA"/>
          <w14:ligatures w14:val="none"/>
        </w:rPr>
        <w:t xml:space="preserve"> навчання усне опитування, презентація виконання індивідуальних завдань та досліджень проводиться в Zoom; виконання практичних завдань та тестування відбувається в системі Moodle.</w:t>
      </w:r>
    </w:p>
    <w:bookmarkEnd w:id="16"/>
    <w:p w14:paraId="148E3CF3" w14:textId="77777777" w:rsidR="00972A44" w:rsidRPr="00972A44" w:rsidRDefault="00972A44" w:rsidP="00972A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ar-SA"/>
          <w14:ligatures w14:val="none"/>
        </w:rPr>
      </w:pPr>
    </w:p>
    <w:p w14:paraId="2FC4E675" w14:textId="77777777" w:rsidR="00972A44" w:rsidRPr="00972A44" w:rsidRDefault="00972A44" w:rsidP="00972A44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17" w:name="_Hlk124871666"/>
      <w:r w:rsidRPr="00972A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Підсумковий семестровий контроль</w:t>
      </w:r>
    </w:p>
    <w:p w14:paraId="2FC9E87A" w14:textId="77777777" w:rsidR="00972A44" w:rsidRPr="00972A44" w:rsidRDefault="00972A44" w:rsidP="00972A4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bookmarkStart w:id="18" w:name="_Hlk124871747"/>
      <w:bookmarkEnd w:id="17"/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4"/>
        <w:gridCol w:w="2410"/>
        <w:gridCol w:w="2693"/>
        <w:gridCol w:w="1073"/>
      </w:tblGrid>
      <w:tr w:rsidR="00972A44" w:rsidRPr="00972A44" w14:paraId="6C08309E" w14:textId="77777777" w:rsidTr="001B6A6E">
        <w:trPr>
          <w:trHeight w:val="525"/>
        </w:trPr>
        <w:tc>
          <w:tcPr>
            <w:tcW w:w="1271" w:type="dxa"/>
          </w:tcPr>
          <w:p w14:paraId="6FE85F3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bookmarkStart w:id="19" w:name="_Hlk124871813"/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Форма </w:t>
            </w:r>
          </w:p>
        </w:tc>
        <w:tc>
          <w:tcPr>
            <w:tcW w:w="1984" w:type="dxa"/>
          </w:tcPr>
          <w:p w14:paraId="4099CB73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671EC807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Зміст підсумкового контрольного заходу</w:t>
            </w:r>
          </w:p>
        </w:tc>
        <w:tc>
          <w:tcPr>
            <w:tcW w:w="2693" w:type="dxa"/>
          </w:tcPr>
          <w:p w14:paraId="22EC98C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Критерії оцінювання</w:t>
            </w:r>
          </w:p>
        </w:tc>
        <w:tc>
          <w:tcPr>
            <w:tcW w:w="1073" w:type="dxa"/>
          </w:tcPr>
          <w:p w14:paraId="69AEA54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Усього балів</w:t>
            </w:r>
          </w:p>
        </w:tc>
      </w:tr>
      <w:tr w:rsidR="00972A44" w:rsidRPr="00972A44" w14:paraId="7C2025A5" w14:textId="77777777" w:rsidTr="001B6A6E">
        <w:tc>
          <w:tcPr>
            <w:tcW w:w="1271" w:type="dxa"/>
            <w:vMerge w:val="restart"/>
            <w:textDirection w:val="btLr"/>
          </w:tcPr>
          <w:p w14:paraId="113E1FB4" w14:textId="4ED4CB82" w:rsidR="00972A44" w:rsidRPr="00972A44" w:rsidRDefault="004F7C2B" w:rsidP="00972A44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ar-SA"/>
                <w14:ligatures w14:val="none"/>
              </w:rPr>
              <w:t>Екзамен</w:t>
            </w:r>
          </w:p>
        </w:tc>
        <w:tc>
          <w:tcPr>
            <w:tcW w:w="1984" w:type="dxa"/>
          </w:tcPr>
          <w:p w14:paraId="1752EB13" w14:textId="775A0E29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Відповідь на одне теоретичне питання </w:t>
            </w:r>
            <w:r w:rsidR="004F7C2B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екзаменаційн</w:t>
            </w: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ого білета в усній формі (з письмовою фіксацією)</w:t>
            </w:r>
          </w:p>
        </w:tc>
        <w:tc>
          <w:tcPr>
            <w:tcW w:w="2410" w:type="dxa"/>
          </w:tcPr>
          <w:p w14:paraId="6310F19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</w:pP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Весь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навчальний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матеріал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за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ЗМ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1-4 (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розділ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3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робочої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програми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)</w:t>
            </w:r>
          </w:p>
          <w:p w14:paraId="1C114F2E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Після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вибору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білета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та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підготовки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студент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спочатку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відповідає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на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теоретичне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 xml:space="preserve"> </w:t>
            </w:r>
            <w:r w:rsidRPr="00972A44">
              <w:rPr>
                <w:rFonts w:ascii="Calibri" w:eastAsia="Times New Roman" w:hAnsi="Times New Roman" w:cs="Times New Roman"/>
                <w:kern w:val="0"/>
                <w:lang w:val="uk-UA" w:eastAsia="ja-JP"/>
                <w14:ligatures w14:val="none"/>
              </w:rPr>
              <w:t>питання</w:t>
            </w:r>
          </w:p>
        </w:tc>
        <w:tc>
          <w:tcPr>
            <w:tcW w:w="2693" w:type="dxa"/>
          </w:tcPr>
          <w:p w14:paraId="5F174DF5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−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10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      </w:r>
          </w:p>
          <w:p w14:paraId="1C169D54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−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 xml:space="preserve">8-9 балів: досить високий рівень знань і навичок: відповідь логічна, містить деякі неточності при формулюванні узагальнень, наведенні прикладів; наявні 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lastRenderedPageBreak/>
              <w:t xml:space="preserve">труднощі при формулюванні узагальнюючих висновків. </w:t>
            </w:r>
          </w:p>
          <w:p w14:paraId="2A9E5384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−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5-7 балів: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      </w:r>
          </w:p>
          <w:p w14:paraId="16F6CB0B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−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 xml:space="preserve">2-4 бали: неповні знання студента основного матеріалу;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      </w:r>
          </w:p>
          <w:p w14:paraId="14D8218B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−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 бал: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      </w:r>
          </w:p>
        </w:tc>
        <w:tc>
          <w:tcPr>
            <w:tcW w:w="1073" w:type="dxa"/>
          </w:tcPr>
          <w:p w14:paraId="428B7BFB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lastRenderedPageBreak/>
              <w:t>10</w:t>
            </w:r>
          </w:p>
        </w:tc>
      </w:tr>
      <w:tr w:rsidR="00972A44" w:rsidRPr="00972A44" w14:paraId="7DDDA0EE" w14:textId="77777777" w:rsidTr="001B6A6E">
        <w:trPr>
          <w:trHeight w:val="1080"/>
        </w:trPr>
        <w:tc>
          <w:tcPr>
            <w:tcW w:w="1271" w:type="dxa"/>
            <w:vMerge/>
          </w:tcPr>
          <w:p w14:paraId="7851267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1984" w:type="dxa"/>
          </w:tcPr>
          <w:p w14:paraId="5C3EC434" w14:textId="3EB53190" w:rsidR="00972A44" w:rsidRPr="00972A44" w:rsidRDefault="00972A44" w:rsidP="00972A44">
            <w:pPr>
              <w:widowControl w:val="0"/>
              <w:suppressAutoHyphens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Розв’язання 2-х задач, умови яких наведені в </w:t>
            </w:r>
            <w:r w:rsidR="004F7C2B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>екзаменаційн</w:t>
            </w:r>
            <w:r w:rsidRPr="00972A44">
              <w:rPr>
                <w:rFonts w:ascii="Times New Roman" w:eastAsia="Times New Roman" w:hAnsi="Times New Roman" w:cs="Times New Roman"/>
                <w:kern w:val="0"/>
                <w:lang w:val="uk-UA" w:eastAsia="ar-SA"/>
                <w14:ligatures w14:val="none"/>
              </w:rPr>
              <w:t xml:space="preserve">ому білеті </w:t>
            </w:r>
          </w:p>
        </w:tc>
        <w:tc>
          <w:tcPr>
            <w:tcW w:w="2410" w:type="dxa"/>
          </w:tcPr>
          <w:p w14:paraId="6EF9F8A6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Зміст задач охоплює весь навчальний матеріал за ЗМ1-4</w:t>
            </w:r>
          </w:p>
          <w:p w14:paraId="06C4D884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умови задач аналогічні тим, що розв’язувалися на практичних заняттях</w:t>
            </w:r>
          </w:p>
        </w:tc>
        <w:tc>
          <w:tcPr>
            <w:tcW w:w="2693" w:type="dxa"/>
          </w:tcPr>
          <w:p w14:paraId="48B2FC1F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15 – студент правильно розв’язав задачу з необхідними поясненнями;</w:t>
            </w:r>
          </w:p>
          <w:p w14:paraId="157F05A2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13-14 – студент розв’язав задачу з незначними помилками;</w:t>
            </w:r>
          </w:p>
          <w:p w14:paraId="4507DF8F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 xml:space="preserve">10-12 – студент розв’язав задачу без суттєвих помилок; </w:t>
            </w:r>
          </w:p>
          <w:p w14:paraId="5A184445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7-9 – студент розв’язав задачу з несуттєвими помилками;</w:t>
            </w:r>
          </w:p>
          <w:p w14:paraId="6FFFE44E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4-6 – студент правильно виписав формули за якими розв’язується задача та зробив спробу її розв’язання;</w:t>
            </w:r>
          </w:p>
          <w:p w14:paraId="46E66AFD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lastRenderedPageBreak/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2-3 - студент частково розв’язав задачу з суттєвими помилками;</w:t>
            </w:r>
          </w:p>
          <w:p w14:paraId="10A3400F" w14:textId="77777777" w:rsidR="00972A44" w:rsidRPr="00972A44" w:rsidRDefault="00972A44" w:rsidP="00972A44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>–</w:t>
            </w:r>
            <w:r w:rsidRPr="00972A44">
              <w:rPr>
                <w:rFonts w:ascii="Times New Roman" w:eastAsia="Times New Roman" w:hAnsi="Times New Roman" w:cs="Times New Roman"/>
                <w:bCs/>
                <w:kern w:val="0"/>
                <w:lang w:val="uk-UA" w:eastAsia="ar-SA"/>
                <w14:ligatures w14:val="none"/>
              </w:rPr>
              <w:tab/>
              <w:t>1 - студент правильно виписав формулу за якою розв’язується задача.</w:t>
            </w:r>
          </w:p>
        </w:tc>
        <w:tc>
          <w:tcPr>
            <w:tcW w:w="1073" w:type="dxa"/>
          </w:tcPr>
          <w:p w14:paraId="61DD3240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  <w:lastRenderedPageBreak/>
              <w:t>2 х15 = 30</w:t>
            </w:r>
          </w:p>
        </w:tc>
      </w:tr>
      <w:tr w:rsidR="00972A44" w:rsidRPr="00972A44" w14:paraId="6BBF6989" w14:textId="77777777" w:rsidTr="001B6A6E">
        <w:tc>
          <w:tcPr>
            <w:tcW w:w="1271" w:type="dxa"/>
          </w:tcPr>
          <w:p w14:paraId="3A73C8F1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Усього за підсумковий  семестровий контроль</w:t>
            </w:r>
          </w:p>
        </w:tc>
        <w:tc>
          <w:tcPr>
            <w:tcW w:w="1984" w:type="dxa"/>
          </w:tcPr>
          <w:p w14:paraId="06F09068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</w:tc>
        <w:tc>
          <w:tcPr>
            <w:tcW w:w="2410" w:type="dxa"/>
          </w:tcPr>
          <w:p w14:paraId="55E0AADD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2693" w:type="dxa"/>
          </w:tcPr>
          <w:p w14:paraId="2707CC42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  <w14:ligatures w14:val="none"/>
              </w:rPr>
            </w:pPr>
          </w:p>
        </w:tc>
        <w:tc>
          <w:tcPr>
            <w:tcW w:w="1073" w:type="dxa"/>
          </w:tcPr>
          <w:p w14:paraId="7133CFFF" w14:textId="77777777" w:rsidR="00972A44" w:rsidRPr="00972A44" w:rsidRDefault="00972A44" w:rsidP="00972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97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40</w:t>
            </w:r>
          </w:p>
        </w:tc>
      </w:tr>
      <w:bookmarkEnd w:id="19"/>
    </w:tbl>
    <w:p w14:paraId="2940AF5F" w14:textId="77777777" w:rsidR="00972A44" w:rsidRPr="00972A44" w:rsidRDefault="00972A44" w:rsidP="00972A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</w:p>
    <w:bookmarkEnd w:id="18"/>
    <w:p w14:paraId="31949A11" w14:textId="77777777" w:rsidR="00972A44" w:rsidRPr="00972A44" w:rsidRDefault="00972A44" w:rsidP="00972A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9.</w:t>
      </w:r>
      <w:r w:rsidRPr="00972A4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t>Рекомендована література</w:t>
      </w:r>
    </w:p>
    <w:p w14:paraId="2CE74DC0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Основна</w:t>
      </w:r>
    </w:p>
    <w:p w14:paraId="7F544567" w14:textId="77777777" w:rsidR="00A31F2F" w:rsidRPr="00A31F2F" w:rsidRDefault="00A31F2F" w:rsidP="00A31F2F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1F2F">
        <w:rPr>
          <w:rFonts w:ascii="Times New Roman" w:eastAsia="Calibri" w:hAnsi="Times New Roman" w:cs="Times New Roman"/>
          <w:sz w:val="24"/>
          <w:szCs w:val="24"/>
          <w:lang w:val="uk-UA"/>
        </w:rPr>
        <w:t>Аналіз банківської діяльності : навч. посіб. / уклад. Н. О. Станіславчук. Умань : Візаві, 2018. 191 с.</w:t>
      </w:r>
    </w:p>
    <w:p w14:paraId="409E94D8" w14:textId="0C01D405" w:rsidR="00972A44" w:rsidRPr="00972A44" w:rsidRDefault="00972A44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Берест М. М. Фінансовий аналіз : навчальний посібник : Харків : ХНЕУ ім. С. Кузнеця, 2017.  164 с.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ab/>
      </w:r>
    </w:p>
    <w:p w14:paraId="1EC0F0FF" w14:textId="1D4A1C2C" w:rsidR="00972A44" w:rsidRPr="00972A44" w:rsidRDefault="00972A44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Подольська В.</w:t>
      </w:r>
      <w:r w:rsid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О., Яріш О. В. Фінансовий аналіз : навч. посіб. Київ : ЦНЛ, 2016. 234 с.</w:t>
      </w:r>
    </w:p>
    <w:p w14:paraId="6AEA27E6" w14:textId="77777777" w:rsidR="00972A44" w:rsidRPr="00972A44" w:rsidRDefault="00972A44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Тютюнник Ю. М., Дорогань-Писаренко Л. О., Тютюнник С. В.  Фінансовий аналіз : навч. посіб.  Полтава : ПДАА, 2016. 430 с.</w:t>
      </w:r>
    </w:p>
    <w:p w14:paraId="34098469" w14:textId="3F278193" w:rsidR="00972A44" w:rsidRDefault="00972A44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Коробов М.</w:t>
      </w:r>
      <w:r w:rsid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Я. Фінансово-економічний аналіз діяльності підприємства. Київ: Знання, 2015. 254 с.</w:t>
      </w:r>
    </w:p>
    <w:p w14:paraId="53E9BA80" w14:textId="12B0A22C" w:rsidR="002A15AC" w:rsidRPr="00972A44" w:rsidRDefault="002A15AC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Кущик А. П. Фінансовий аналіз в фінансових установах та на підприємствах: конспект лекцій для здобувачів ступеня вищої освіти бакалавра спеціальності «Фінанси, банківська справа та страхування» освітньо-професійної програми «Фінанси і кредит».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Запоріжжя: Запорізький національний університет.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131 с.</w:t>
      </w:r>
    </w:p>
    <w:p w14:paraId="6C2992AC" w14:textId="77777777" w:rsidR="00972A44" w:rsidRPr="00972A44" w:rsidRDefault="00972A44" w:rsidP="00972A4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Фінансовий аналіз: навч. посібник. / за заг. ред. Школьник І. О., Київ: Центр учбової літератури. 2016, 368 с.</w:t>
      </w:r>
    </w:p>
    <w:p w14:paraId="11ECCB38" w14:textId="77777777" w:rsidR="00972A44" w:rsidRPr="00972A44" w:rsidRDefault="00972A44" w:rsidP="00972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443CEB33" w14:textId="77777777" w:rsidR="00972A44" w:rsidRPr="00972A44" w:rsidRDefault="00972A44" w:rsidP="00972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Додаткова</w:t>
      </w:r>
    </w:p>
    <w:p w14:paraId="7017E4C8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Андрущак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Діагностика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банкрутства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українських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України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2015,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9.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 27-34.</w:t>
      </w:r>
    </w:p>
    <w:p w14:paraId="5FB0C404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2.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Про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інвестиційну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діяльність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Закон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України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від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18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вересня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1991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Верховна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Рада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України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URL: http://zakon3.rada.gov.ua/laws/show/1560-12.</w:t>
      </w:r>
    </w:p>
    <w:p w14:paraId="1B5CB4EF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3.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Крамаренко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планування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ЦНЛ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2009. 375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4E95E261" w14:textId="0D940F2F" w:rsidR="00972A44" w:rsidRPr="00972A44" w:rsidRDefault="00972A44" w:rsidP="002A15AC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4. </w:t>
      </w:r>
      <w:r w:rsidR="002A15AC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     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Кущик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.,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Гельман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метод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посібник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Запоріжжя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ЗНУ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, 2012. 120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671A8DDC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5.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Лахтіонова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суб’єктів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господарювання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монографія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КНЕУ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2012. 347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</w:p>
    <w:p w14:paraId="00C11CF9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6.  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Мних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Є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посіб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нац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торг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економ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ун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2014. 412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</w:p>
    <w:p w14:paraId="0B812D17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8.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Павловська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посібник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для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самостійного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вивчення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КНЕУ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2010. 287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75AB7A69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9.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Таркуцяк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УФІМБ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2010. 382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4E83F62F" w14:textId="77777777" w:rsidR="00972A44" w:rsidRDefault="00972A44" w:rsidP="00A31F2F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10.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.-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метод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посіб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/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за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ред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Павловського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КНЕУ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2008. 237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7EAEF0AF" w14:textId="0FA0D013" w:rsidR="00A31F2F" w:rsidRPr="00A31F2F" w:rsidRDefault="00A31F2F" w:rsidP="00A31F2F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31F2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Чайковський Я. І. Організація платіжних операцій банків : навч. посіб. Тернопіль : ТНЕУ, 2018. 232 с.</w:t>
      </w:r>
    </w:p>
    <w:p w14:paraId="378837D3" w14:textId="77777777" w:rsidR="00972A44" w:rsidRPr="00972A44" w:rsidRDefault="00972A44" w:rsidP="00972A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lastRenderedPageBreak/>
        <w:t>11.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Knyshek О. О., Tarasenko І.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діяльності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умовах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економічної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нестабільності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Економіка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просторово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кластерний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бізнес</w:t>
      </w:r>
      <w:r w:rsidRPr="00972A44">
        <w:rPr>
          <w:rFonts w:ascii="Calibri" w:eastAsia="Times New Roman" w:hAnsi="Times New Roman" w:cs="Times New Roman"/>
          <w:i/>
          <w:iCs/>
          <w:kern w:val="0"/>
          <w:sz w:val="24"/>
          <w:szCs w:val="24"/>
          <w:lang w:val="uk-UA" w:eastAsia="uk-UA"/>
          <w14:ligatures w14:val="none"/>
        </w:rPr>
        <w:t>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139 (2018). https://doi.org/10.30838/P.ES.2224.271018.171.282</w:t>
      </w:r>
    </w:p>
    <w:p w14:paraId="7FD26FD1" w14:textId="77777777" w:rsidR="00972A44" w:rsidRPr="00972A44" w:rsidRDefault="00972A44" w:rsidP="00972A44">
      <w:pPr>
        <w:spacing w:after="0" w:line="240" w:lineRule="auto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12.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Мец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Економічний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аналіз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фінансових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результатів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та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фінансового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стану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підприємства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навч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пос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Київ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КНЕУ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2015. 325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с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4718A0C8" w14:textId="3FF047E4" w:rsidR="00972A44" w:rsidRPr="00972A44" w:rsidRDefault="00972A44" w:rsidP="00972A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13.  Lovallo D., Sibony O. The case for behavioral strategy.  McKinsey Quarterly, March 2010, p. 1</w:t>
      </w:r>
      <w:r w:rsid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16.</w:t>
      </w:r>
    </w:p>
    <w:p w14:paraId="16DCFC3D" w14:textId="07C0CC50" w:rsidR="00972A44" w:rsidRPr="00972A44" w:rsidRDefault="00972A44" w:rsidP="00972A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14.  Yudkowsky E. Cognitive biases potentially affecting judgement of global risks. Global Catastrophic Risks, ds. Nick. Bostrom and Milan Cirkovic. 2008. P. 91</w:t>
      </w:r>
      <w:r w:rsidR="002A15A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-</w:t>
      </w:r>
      <w:r w:rsidRPr="00972A4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119.</w:t>
      </w:r>
    </w:p>
    <w:p w14:paraId="36C572FF" w14:textId="77777777" w:rsidR="00972A44" w:rsidRPr="00972A44" w:rsidRDefault="00972A44" w:rsidP="00972A44">
      <w:pPr>
        <w:spacing w:after="0" w:line="240" w:lineRule="auto"/>
        <w:ind w:firstLine="709"/>
        <w:jc w:val="both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4FD97B60" w14:textId="77777777" w:rsidR="00972A44" w:rsidRPr="00972A44" w:rsidRDefault="00972A44" w:rsidP="00972A44">
      <w:pPr>
        <w:spacing w:after="0" w:line="240" w:lineRule="auto"/>
        <w:ind w:firstLine="709"/>
        <w:jc w:val="center"/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Інформаційні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972A44">
        <w:rPr>
          <w:rFonts w:ascii="Calibri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ресурси</w:t>
      </w:r>
    </w:p>
    <w:p w14:paraId="655EEA70" w14:textId="436FB0EC" w:rsidR="00972A44" w:rsidRPr="00A31F2F" w:rsidRDefault="00972A44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Офіційний сайт Верховної Ради України. URL: http://zakon2.rada.gov.ua/laws/show/784-14.</w:t>
      </w:r>
    </w:p>
    <w:p w14:paraId="0554BF5B" w14:textId="6E66D659" w:rsidR="00972A44" w:rsidRPr="00A31F2F" w:rsidRDefault="00972A44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Офіційний сайт Міністерства фінансів України - URL: http://www.minfin.gov.ua</w:t>
      </w:r>
    </w:p>
    <w:p w14:paraId="1F3DB26B" w14:textId="05B9ADCF" w:rsidR="00972A44" w:rsidRPr="00A31F2F" w:rsidRDefault="00972A44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Офіційний сайт Державного агентства України  з інвестицій та розвитку. URL: http://www.in.gov.ua.</w:t>
      </w:r>
    </w:p>
    <w:p w14:paraId="1CF27ABB" w14:textId="062F7AA5" w:rsidR="00972A44" w:rsidRPr="00A31F2F" w:rsidRDefault="00972A44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Офіційний сайт Міністерства економіки України. URL: </w:t>
      </w:r>
      <w:hyperlink r:id="rId6" w:history="1">
        <w:r w:rsidR="00A31F2F" w:rsidRPr="00A31F2F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uk-UA" w:eastAsia="uk-UA"/>
            <w14:ligatures w14:val="none"/>
          </w:rPr>
          <w:t>http://www.me.gov.ua</w:t>
        </w:r>
      </w:hyperlink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640D4BB4" w14:textId="77777777" w:rsidR="00A31F2F" w:rsidRPr="00A31F2F" w:rsidRDefault="00A31F2F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3.</w:t>
      </w: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  <w:t>Офіційне Інтернет-представництво Національного банку України. URL: https://bank.gov.ua/control/uk/index.</w:t>
      </w:r>
    </w:p>
    <w:p w14:paraId="74C3CE5C" w14:textId="4F82C92B" w:rsidR="00A31F2F" w:rsidRPr="00A31F2F" w:rsidRDefault="00A31F2F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Офіційний сайт Національного рейтингового агентства «Рюрік». URL: </w:t>
      </w:r>
      <w:hyperlink r:id="rId7" w:history="1">
        <w:r w:rsidRPr="00A31F2F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uk-UA" w:eastAsia="uk-UA"/>
            <w14:ligatures w14:val="none"/>
          </w:rPr>
          <w:t>http://rurik.com.ua</w:t>
        </w:r>
      </w:hyperlink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343C07C1" w14:textId="77777777" w:rsidR="00A31F2F" w:rsidRPr="00A31F2F" w:rsidRDefault="00A31F2F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11.</w:t>
      </w: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ab/>
        <w:t xml:space="preserve">Рейтинг стійкості банків. URL: https://minfin.com.ua/ua/banks/rating </w:t>
      </w:r>
    </w:p>
    <w:p w14:paraId="7E0240D7" w14:textId="04288FDB" w:rsidR="00A31F2F" w:rsidRPr="00A31F2F" w:rsidRDefault="00A31F2F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Сайт Фонду гарантування вкладів фізичних осіб. URL: http://www.fg.gov.ua </w:t>
      </w:r>
    </w:p>
    <w:p w14:paraId="1D5B12D4" w14:textId="2603FB80" w:rsidR="00972A44" w:rsidRPr="00A31F2F" w:rsidRDefault="00972A44" w:rsidP="00A31F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Головне управління статистики у Запорізькій області.  http://www.zp.ukrstat.gov.ua</w:t>
      </w:r>
    </w:p>
    <w:p w14:paraId="49EE2003" w14:textId="4E42A9D9" w:rsidR="00972A44" w:rsidRPr="00A31F2F" w:rsidRDefault="00972A44" w:rsidP="0017334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A31F2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Державна служба статистики України. http://www.ukrstat.gov.ua.</w:t>
      </w:r>
    </w:p>
    <w:p w14:paraId="4F4EFA7E" w14:textId="77777777" w:rsidR="00972A44" w:rsidRPr="00972A44" w:rsidRDefault="00972A44" w:rsidP="00A31F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1EFE32AB" w14:textId="77777777" w:rsidR="00972A44" w:rsidRPr="00972A44" w:rsidRDefault="00972A44" w:rsidP="00A31F2F">
      <w:pPr>
        <w:tabs>
          <w:tab w:val="left" w:pos="284"/>
        </w:tabs>
        <w:rPr>
          <w:lang w:val="uk-UA"/>
        </w:rPr>
      </w:pPr>
    </w:p>
    <w:sectPr w:rsidR="00972A44" w:rsidRPr="0097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23F"/>
    <w:multiLevelType w:val="hybridMultilevel"/>
    <w:tmpl w:val="937463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7B4"/>
    <w:multiLevelType w:val="hybridMultilevel"/>
    <w:tmpl w:val="582631A0"/>
    <w:lvl w:ilvl="0" w:tplc="7B1EA4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D77"/>
    <w:multiLevelType w:val="hybridMultilevel"/>
    <w:tmpl w:val="F54E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F8E"/>
    <w:multiLevelType w:val="hybridMultilevel"/>
    <w:tmpl w:val="79565166"/>
    <w:lvl w:ilvl="0" w:tplc="61127896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F3C49ED"/>
    <w:multiLevelType w:val="hybridMultilevel"/>
    <w:tmpl w:val="9F32D6B2"/>
    <w:lvl w:ilvl="0" w:tplc="5A7CB8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8E6DB1"/>
    <w:multiLevelType w:val="hybridMultilevel"/>
    <w:tmpl w:val="D0CA8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FB2C63"/>
    <w:multiLevelType w:val="hybridMultilevel"/>
    <w:tmpl w:val="EB384950"/>
    <w:lvl w:ilvl="0" w:tplc="A246BF4A">
      <w:start w:val="1"/>
      <w:numFmt w:val="decimal"/>
      <w:lvlText w:val="%1."/>
      <w:lvlJc w:val="left"/>
      <w:pPr>
        <w:ind w:left="1065" w:hanging="705"/>
      </w:pPr>
      <w:rPr>
        <w:rFonts w:asci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04323">
    <w:abstractNumId w:val="6"/>
  </w:num>
  <w:num w:numId="2" w16cid:durableId="949970273">
    <w:abstractNumId w:val="0"/>
  </w:num>
  <w:num w:numId="3" w16cid:durableId="367485074">
    <w:abstractNumId w:val="1"/>
  </w:num>
  <w:num w:numId="4" w16cid:durableId="746613815">
    <w:abstractNumId w:val="5"/>
  </w:num>
  <w:num w:numId="5" w16cid:durableId="1915777469">
    <w:abstractNumId w:val="4"/>
  </w:num>
  <w:num w:numId="6" w16cid:durableId="1505245982">
    <w:abstractNumId w:val="3"/>
  </w:num>
  <w:num w:numId="7" w16cid:durableId="222523176">
    <w:abstractNumId w:val="2"/>
  </w:num>
  <w:num w:numId="8" w16cid:durableId="282544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44"/>
    <w:rsid w:val="000B5D56"/>
    <w:rsid w:val="000E58F0"/>
    <w:rsid w:val="0017334D"/>
    <w:rsid w:val="001E1637"/>
    <w:rsid w:val="002A15AC"/>
    <w:rsid w:val="00324928"/>
    <w:rsid w:val="003B66C2"/>
    <w:rsid w:val="003F04EE"/>
    <w:rsid w:val="00476F26"/>
    <w:rsid w:val="00494607"/>
    <w:rsid w:val="004F7C2B"/>
    <w:rsid w:val="00624F0C"/>
    <w:rsid w:val="00672D09"/>
    <w:rsid w:val="006F26C3"/>
    <w:rsid w:val="00703A58"/>
    <w:rsid w:val="007A2459"/>
    <w:rsid w:val="00855225"/>
    <w:rsid w:val="008F252A"/>
    <w:rsid w:val="00972A44"/>
    <w:rsid w:val="00A31F2F"/>
    <w:rsid w:val="00BC2BA8"/>
    <w:rsid w:val="00C55474"/>
    <w:rsid w:val="00D56BDF"/>
    <w:rsid w:val="00F21F22"/>
    <w:rsid w:val="00FA2427"/>
    <w:rsid w:val="00F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FF3E"/>
  <w15:chartTrackingRefBased/>
  <w15:docId w15:val="{45512D95-8359-4F48-96FF-DAD1C2F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rik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4</cp:revision>
  <dcterms:created xsi:type="dcterms:W3CDTF">2024-01-02T10:19:00Z</dcterms:created>
  <dcterms:modified xsi:type="dcterms:W3CDTF">2024-02-04T15:34:00Z</dcterms:modified>
</cp:coreProperties>
</file>