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1: Історично-філософські передумови формування, об'єкт та предмет філософії ресурсної свідомості</w:t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sz w:val="28"/>
          <w:szCs w:val="28"/>
        </w:rPr>
      </w:pPr>
      <w:r>
        <w:rPr>
          <w:sz w:val="28"/>
          <w:szCs w:val="28"/>
        </w:rPr>
        <w:t>Умови актуалізації філософії ресурсного свідомості у ХХІ ст. Об'єкт та предмет філософії ресурсного свідомості. Детермінанти оптимізації розвитку ресурсної культури, ресурсного свідомості, ресурсної діяльності, ресурсного потенціалу.</w:t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2: «Ресурси», «потенціал» та «креативність» в філософії ресурсної свідомості</w:t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sz w:val="28"/>
          <w:szCs w:val="28"/>
        </w:rPr>
      </w:pPr>
      <w:r>
        <w:rPr>
          <w:sz w:val="28"/>
          <w:szCs w:val="28"/>
        </w:rPr>
        <w:t>Аналіз змісту категорій філософії ресурсної свідомості «ресурси», «сила», «міць», «можливість», «потенціал», «креативність».</w:t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3: Філософія креації та рекреації, норма, її варіації та патологія в суспільній свідомості</w:t>
      </w:r>
    </w:p>
    <w:p>
      <w:pPr>
        <w:pStyle w:val="Normal"/>
        <w:bidi w:val="0"/>
        <w:spacing w:lineRule="auto" w:line="276"/>
        <w:ind w:left="0" w:right="0" w:firstLine="680"/>
        <w:jc w:val="left"/>
        <w:rPr>
          <w:sz w:val="28"/>
          <w:szCs w:val="28"/>
        </w:rPr>
      </w:pPr>
      <w:r>
        <w:rPr>
          <w:sz w:val="28"/>
          <w:szCs w:val="28"/>
        </w:rPr>
        <w:t>Аналіз змісту категорій філософії ресурсної свідомості «креація», «рекреація». Норма та патологія в суспільній практиці. Історична плинність поняття норми: формування та диференціація.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LibreOffice/7.3.7.2$Linux_X86_64 LibreOffice_project/30$Build-2</Application>
  <AppVersion>15.0000</AppVersion>
  <Pages>1</Pages>
  <Words>99</Words>
  <Characters>762</Characters>
  <CharactersWithSpaces>854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2024-02-10T14:34:25Z</dcterms:modified>
  <cp:revision>1</cp:revision>
  <dc:subject/>
  <dc:title/>
</cp:coreProperties>
</file>