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11162">
      <w:pPr>
        <w:pStyle w:val="6"/>
        <w:numPr>
          <w:numId w:val="0"/>
        </w:numPr>
        <w:tabs>
          <w:tab w:val="left" w:pos="3612"/>
        </w:tabs>
        <w:spacing w:before="0" w:beforeAutospacing="0" w:after="0" w:afterAutospacing="0" w:line="480" w:lineRule="auto"/>
        <w:ind w:left="440" w:leftChars="0" w:right="1486" w:rightChars="0" w:firstLine="0" w:firstLineChars="0"/>
        <w:jc w:val="center"/>
        <w:rPr>
          <w:rFonts w:hint="default" w:ascii="Times New Roman" w:hAnsi="Times New Roman" w:cs="Times New Roman"/>
          <w:b/>
          <w:sz w:val="28"/>
          <w:lang w:val="uk-UA"/>
        </w:rPr>
      </w:pPr>
      <w:r>
        <w:rPr>
          <w:rFonts w:hint="default" w:cs="Times New Roman"/>
          <w:b/>
          <w:sz w:val="28"/>
          <w:lang w:val="uk-UA"/>
        </w:rPr>
        <w:t xml:space="preserve">                              </w:t>
      </w:r>
      <w:bookmarkStart w:id="1" w:name="_GoBack"/>
      <w:bookmarkEnd w:id="1"/>
      <w:r>
        <w:rPr>
          <w:rFonts w:hint="default" w:cs="Times New Roman"/>
          <w:b/>
          <w:sz w:val="28"/>
          <w:lang w:val="uk-UA"/>
        </w:rPr>
        <w:t>Рекомендована література</w:t>
      </w:r>
    </w:p>
    <w:p w14:paraId="686251DA">
      <w:pPr>
        <w:pStyle w:val="6"/>
        <w:numPr>
          <w:ilvl w:val="0"/>
          <w:numId w:val="1"/>
        </w:numPr>
        <w:tabs>
          <w:tab w:val="left" w:pos="3612"/>
        </w:tabs>
        <w:spacing w:before="0" w:beforeAutospacing="0" w:after="0" w:afterAutospacing="0" w:line="480" w:lineRule="auto"/>
        <w:ind w:left="299" w:right="2310" w:firstLine="2891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cs="Times New Roman"/>
          <w:b/>
          <w:sz w:val="28"/>
          <w:lang w:val="uk-UA"/>
        </w:rPr>
        <w:t xml:space="preserve">Основна </w:t>
      </w:r>
    </w:p>
    <w:p w14:paraId="3645A15D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Василенко К. Лексика українського народно сценічного танцю : Репертуарний збірник. Київ: Мистецтво, 1990. № 5. 223 с. </w:t>
      </w:r>
    </w:p>
    <w:p w14:paraId="1AB12107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Василенко К. Ю. Українські народні танці для дітей. Київ : Музична Україна, 1985. 80 с.</w:t>
      </w:r>
    </w:p>
    <w:p w14:paraId="63CFBF9C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Верховинець В. М. Теорія українського народного танцю. 5-те вид., доп. Київ : Музична Україна, 1990.150 с. </w:t>
      </w:r>
    </w:p>
    <w:p w14:paraId="47AD30C5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Зайцев Є. Основи народно-сценічного танцю : посібник : Частина перша. Київ : Мистецтво, 1975. 223 с.</w:t>
      </w:r>
    </w:p>
    <w:p w14:paraId="3C7FDDB0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</w:rPr>
        <w:t>Гончаренко Ю. В. Хореографія</w:t>
      </w:r>
      <w:r>
        <w:rPr>
          <w:rFonts w:hint="default" w:ascii="Times New Roman" w:hAnsi="Times New Roman" w:cs="Times New Roman"/>
          <w:b/>
        </w:rPr>
        <w:t> </w:t>
      </w:r>
      <w:r>
        <w:rPr>
          <w:rFonts w:hint="default" w:ascii="Times New Roman" w:hAnsi="Times New Roman" w:cs="Times New Roman"/>
        </w:rPr>
        <w:t>:</w:t>
      </w:r>
      <w:r>
        <w:rPr>
          <w:rFonts w:hint="default" w:ascii="Times New Roman" w:hAnsi="Times New Roman" w:cs="Times New Roman"/>
          <w:b/>
        </w:rPr>
        <w:t xml:space="preserve"> </w:t>
      </w:r>
      <w:r>
        <w:rPr>
          <w:rFonts w:hint="default" w:ascii="Times New Roman" w:hAnsi="Times New Roman" w:cs="Times New Roman"/>
        </w:rPr>
        <w:t>навчально-методичний посібник для здобувачів ступеня вищої освіти бакалавра спеціальності «Сценічне мистецтво» освітньо-професійної програми «Театральне мистецтво». Запоріжжя : ЗНУ, 2017. 115 с.</w:t>
      </w:r>
    </w:p>
    <w:p w14:paraId="130D5F23">
      <w:pPr>
        <w:tabs>
          <w:tab w:val="left" w:pos="0"/>
          <w:tab w:val="left" w:pos="567"/>
        </w:tabs>
        <w:suppressAutoHyphens w:val="0"/>
        <w:ind w:left="567" w:hanging="567"/>
        <w:jc w:val="both"/>
        <w:rPr>
          <w:rFonts w:hint="default" w:ascii="Times New Roman" w:hAnsi="Times New Roman" w:cs="Times New Roman"/>
          <w:b/>
          <w:sz w:val="28"/>
        </w:rPr>
      </w:pPr>
    </w:p>
    <w:p w14:paraId="57DCF25B">
      <w:pPr>
        <w:pStyle w:val="6"/>
        <w:numPr>
          <w:ilvl w:val="0"/>
          <w:numId w:val="1"/>
        </w:numPr>
        <w:tabs>
          <w:tab w:val="left" w:pos="3612"/>
        </w:tabs>
        <w:spacing w:before="0" w:beforeAutospacing="0" w:after="0" w:afterAutospacing="0" w:line="480" w:lineRule="auto"/>
        <w:ind w:left="299" w:right="2445" w:firstLine="2891"/>
        <w:jc w:val="left"/>
        <w:rPr>
          <w:rFonts w:hint="default" w:ascii="Times New Roman" w:hAnsi="Times New Roman" w:cs="Times New Roman"/>
        </w:rPr>
      </w:pPr>
      <w:r>
        <w:rPr>
          <w:rFonts w:hint="default" w:cs="Times New Roman"/>
          <w:b/>
          <w:sz w:val="28"/>
          <w:lang w:val="uk-UA"/>
        </w:rPr>
        <w:t xml:space="preserve">Додаткова </w:t>
      </w:r>
    </w:p>
    <w:p w14:paraId="5D488042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Барвистий віночок : збірка сюжетних танців для дітей молодшого і середнього шкільного віку. Київ : Музична Україна. 1978. 120 с. </w:t>
      </w:r>
    </w:p>
    <w:p w14:paraId="13587157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Зубатов С. Л. Методика роботи з хореографічним колективом. Київ : Інститут підвищення кваліфікації працівників культури, 1997. 100 с. </w:t>
      </w:r>
    </w:p>
    <w:p w14:paraId="79A20997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Зубатов С. Л. Основи викладання українського народно-сценічного танцю. Київ : ІПК ПК, 1995. 133 с. </w:t>
      </w:r>
    </w:p>
    <w:p w14:paraId="6066ACEB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Майорова О. Українські танці. </w:t>
      </w:r>
      <w:r>
        <w:rPr>
          <w:rFonts w:hint="default" w:ascii="Times New Roman" w:hAnsi="Times New Roman" w:cs="Times New Roman"/>
          <w:i/>
        </w:rPr>
        <w:t>Мистецтво та освіта</w:t>
      </w:r>
      <w:r>
        <w:rPr>
          <w:rFonts w:hint="default" w:ascii="Times New Roman" w:hAnsi="Times New Roman" w:cs="Times New Roman"/>
        </w:rPr>
        <w:t xml:space="preserve">. Київ, 2000. № 4. С. 26–37. </w:t>
      </w:r>
    </w:p>
    <w:p w14:paraId="72DA5928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Поклад І. Танець та його функції в історії людства (культурно-історичний та психологічний аналіз). </w:t>
      </w:r>
      <w:r>
        <w:rPr>
          <w:rFonts w:hint="default" w:ascii="Times New Roman" w:hAnsi="Times New Roman" w:cs="Times New Roman"/>
          <w:i/>
        </w:rPr>
        <w:t>Українське мистецтвознавство</w:t>
      </w:r>
      <w:r>
        <w:rPr>
          <w:rFonts w:hint="default" w:ascii="Times New Roman" w:hAnsi="Times New Roman" w:cs="Times New Roman"/>
        </w:rPr>
        <w:t xml:space="preserve"> : матеріали, дослідження, рецензії. Київ : Інститут мистецтвознавства, фольклористики та етнології, 2004. С. 227–232. </w:t>
      </w:r>
    </w:p>
    <w:p w14:paraId="14CECB09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Теорія та методика викладання народно-сценічного танцю : програма для студ. спец. 7.020202 "Хореографія" спеціалізації "Народна хореографія" Державна академія керівних кадрів культури і мистецтв ; уклад. В. О. Камін. Київ : ДАКККіМ, 2003. 29 с. </w:t>
      </w:r>
    </w:p>
    <w:p w14:paraId="14789270">
      <w:pPr>
        <w:pStyle w:val="7"/>
        <w:numPr>
          <w:ilvl w:val="0"/>
          <w:numId w:val="3"/>
        </w:numPr>
        <w:ind w:left="567" w:hanging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Українські народні танці / упоряд., вступна стаття та примітки А. І. Гуменюка ; за ред. П. П. Вірського. Київ : Наукова думка, 1969. 615 с. </w:t>
      </w:r>
    </w:p>
    <w:p w14:paraId="12C20061">
      <w:pPr>
        <w:numPr>
          <w:ilvl w:val="0"/>
          <w:numId w:val="3"/>
        </w:numPr>
        <w:tabs>
          <w:tab w:val="left" w:pos="0"/>
          <w:tab w:val="left" w:pos="567"/>
        </w:tabs>
        <w:suppressAutoHyphens w:val="0"/>
        <w:ind w:left="567" w:hanging="720"/>
        <w:jc w:val="both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</w:rPr>
        <w:t>Гуменюк А. І. Народне хореографічне мистецтво України Київ : Видавництво АПН УРСР, 1963. 235 с.</w:t>
      </w:r>
    </w:p>
    <w:p w14:paraId="6510C888">
      <w:pPr>
        <w:spacing w:before="0" w:beforeAutospacing="0" w:afterAutospacing="0" w:line="321" w:lineRule="exact"/>
        <w:ind w:left="299" w:right="0" w:firstLine="0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>Інформаційні ресурси</w:t>
      </w:r>
    </w:p>
    <w:p w14:paraId="48B347E6">
      <w:pPr>
        <w:pStyle w:val="5"/>
        <w:rPr>
          <w:rFonts w:hint="default" w:ascii="Times New Roman" w:hAnsi="Times New Roman" w:cs="Times New Roman"/>
          <w:b/>
          <w:sz w:val="28"/>
        </w:rPr>
      </w:pPr>
    </w:p>
    <w:p w14:paraId="703A140B">
      <w:pPr>
        <w:pStyle w:val="6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Енська О. Ю., Максименко А. І., Ткаченко І. О. Композиція танцю та мистецтво балетмейстера / Міністерство освіти і науки України Сумський державний педагогічний університет імені А. С. Макаренка. 2020. С. 18. URL: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HYPERLINK "https://repository.sspu.edu.ua/bitstream"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4"/>
          <w:rFonts w:hint="default" w:ascii="Times New Roman" w:hAnsi="Times New Roman" w:cs="Times New Roman"/>
        </w:rPr>
        <w:t>https://repository.sspu.edu.ua/bitstream</w:t>
      </w:r>
      <w:r>
        <w:rPr>
          <w:rFonts w:hint="default" w:ascii="Times New Roman" w:hAnsi="Times New Roman" w:cs="Times New Roman"/>
        </w:rPr>
        <w:fldChar w:fldCharType="end"/>
      </w:r>
    </w:p>
    <w:p w14:paraId="1B962F37">
      <w:pPr>
        <w:pStyle w:val="6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Плахотнюк О. Джаз танець на академічній балетній сцені: генезис та персоналії. </w:t>
      </w:r>
      <w:r>
        <w:rPr>
          <w:rFonts w:hint="default" w:ascii="Times New Roman" w:hAnsi="Times New Roman" w:cs="Times New Roman"/>
          <w:i/>
        </w:rPr>
        <w:t>Актуальні питання гуманітарних наук</w:t>
      </w:r>
      <w:r>
        <w:rPr>
          <w:rFonts w:hint="default" w:ascii="Times New Roman" w:hAnsi="Times New Roman" w:cs="Times New Roman"/>
        </w:rPr>
        <w:t xml:space="preserve">. 2014. Вип. 8. С. 164-168.  </w:t>
      </w:r>
      <w:r>
        <w:rPr>
          <w:rStyle w:val="4"/>
          <w:rFonts w:hint="default" w:ascii="Times New Roman" w:hAnsi="Times New Roman" w:cs="Times New Roman"/>
        </w:rPr>
        <w:t>URL:http://nbuv.gov.ua/UJRN/apgnd_2014_8_26</w:t>
      </w:r>
      <w:r>
        <w:rPr>
          <w:rFonts w:hint="default" w:ascii="Times New Roman" w:hAnsi="Times New Roman" w:cs="Times New Roman"/>
        </w:rPr>
        <w:t xml:space="preserve">. </w:t>
      </w:r>
    </w:p>
    <w:p w14:paraId="089DDC86">
      <w:pPr>
        <w:pStyle w:val="6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  <w:b/>
          <w:i/>
        </w:rPr>
      </w:pPr>
      <w:r>
        <w:rPr>
          <w:rFonts w:hint="default" w:ascii="Times New Roman" w:hAnsi="Times New Roman" w:cs="Times New Roman"/>
        </w:rPr>
        <w:t xml:space="preserve">Плахотнюк О. Творчість Тараса Шевченка на балетній сцені. </w:t>
      </w:r>
      <w:bookmarkStart w:id="0" w:name="_Hlk133441185"/>
      <w:r>
        <w:rPr>
          <w:rFonts w:hint="default" w:ascii="Times New Roman" w:hAnsi="Times New Roman" w:cs="Times New Roman"/>
          <w:i/>
        </w:rPr>
        <w:t>Вісник Львівського університету</w:t>
      </w:r>
      <w:r>
        <w:rPr>
          <w:rFonts w:hint="default" w:ascii="Times New Roman" w:hAnsi="Times New Roman" w:cs="Times New Roman"/>
        </w:rPr>
        <w:t>.</w:t>
      </w:r>
      <w:bookmarkEnd w:id="0"/>
      <w:r>
        <w:rPr>
          <w:rFonts w:hint="default" w:ascii="Times New Roman" w:hAnsi="Times New Roman" w:cs="Times New Roman"/>
        </w:rPr>
        <w:t xml:space="preserve"> Серія мистецтвознавство. 2014. Вип. 15. С. 171-176 .URL:  http://publications.lnu.edu.ua/bulletins/index.php/artstudies/article/view/3171/3236</w:t>
      </w:r>
    </w:p>
    <w:p w14:paraId="522F3950">
      <w:pPr>
        <w:pStyle w:val="6"/>
        <w:numPr>
          <w:ilvl w:val="0"/>
          <w:numId w:val="4"/>
        </w:numPr>
        <w:tabs>
          <w:tab w:val="left" w:pos="0"/>
        </w:tabs>
        <w:ind w:left="567" w:hanging="567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Noverre Jean Georges, Lettres sur la danse, et sur les ballets [première édition], par M. Noverre, maître des ballets de Son Altesse Sérénissime Monseigneur le Duc de Wurtemberg, et ci-devant des théâtres de Paris, Lyon, Marseille, Londres, etc., Lyon, Aimé Delaroche, 1760. 484 p. ; in-8. PDF : Internet Archive URL: https://obvil.sorbonne-universite.fr/corpus/danse/noverre_lettres-danse_1760_orig</w:t>
      </w:r>
    </w:p>
    <w:p w14:paraId="164DEB0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056FC"/>
    <w:multiLevelType w:val="multilevel"/>
    <w:tmpl w:val="570056FC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rFonts w:hint="default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">
    <w:nsid w:val="6AFC1B7E"/>
    <w:multiLevelType w:val="multilevel"/>
    <w:tmpl w:val="6AFC1B7E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2">
    <w:nsid w:val="6B5F6DA7"/>
    <w:multiLevelType w:val="multilevel"/>
    <w:tmpl w:val="6B5F6DA7"/>
    <w:lvl w:ilvl="0" w:tentative="0">
      <w:start w:val="1"/>
      <w:numFmt w:val="decimal"/>
      <w:lvlText w:val="%1."/>
      <w:lvlJc w:val="left"/>
      <w:pPr>
        <w:spacing w:beforeAutospacing="0" w:after="0" w:afterAutospacing="0" w:line="240" w:lineRule="auto"/>
        <w:ind w:left="360" w:hanging="360"/>
      </w:pPr>
      <w:rPr>
        <w:rFonts w:hint="default" w:ascii="Times New Roman" w:hAnsi="Times New Roman" w:cs="Times New Roman"/>
        <w:b w:val="0"/>
        <w:bCs w:val="0"/>
        <w:sz w:val="22"/>
        <w:szCs w:val="22"/>
      </w:rPr>
    </w:lvl>
    <w:lvl w:ilvl="1" w:tentative="0">
      <w:start w:val="1"/>
      <w:numFmt w:val="lowerLetter"/>
      <w:lvlText w:val="%2."/>
      <w:lvlJc w:val="left"/>
      <w:pPr>
        <w:spacing w:beforeAutospacing="0" w:after="0" w:afterAutospacing="0" w:line="240" w:lineRule="auto"/>
        <w:ind w:left="1865" w:hanging="360"/>
      </w:pPr>
    </w:lvl>
    <w:lvl w:ilvl="2" w:tentative="0">
      <w:start w:val="1"/>
      <w:numFmt w:val="lowerRoman"/>
      <w:lvlText w:val="%3."/>
      <w:lvlJc w:val="right"/>
      <w:pPr>
        <w:spacing w:beforeAutospacing="0" w:after="0" w:afterAutospacing="0" w:line="240" w:lineRule="auto"/>
        <w:ind w:left="2585" w:hanging="180"/>
      </w:pPr>
    </w:lvl>
    <w:lvl w:ilvl="3" w:tentative="0">
      <w:start w:val="1"/>
      <w:numFmt w:val="decimal"/>
      <w:lvlText w:val="%4."/>
      <w:lvlJc w:val="left"/>
      <w:pPr>
        <w:spacing w:beforeAutospacing="0" w:after="0" w:afterAutospacing="0" w:line="240" w:lineRule="auto"/>
        <w:ind w:left="3305" w:hanging="360"/>
      </w:pPr>
    </w:lvl>
    <w:lvl w:ilvl="4" w:tentative="0">
      <w:start w:val="1"/>
      <w:numFmt w:val="lowerLetter"/>
      <w:lvlText w:val="%5."/>
      <w:lvlJc w:val="left"/>
      <w:pPr>
        <w:spacing w:beforeAutospacing="0" w:after="0" w:afterAutospacing="0" w:line="240" w:lineRule="auto"/>
        <w:ind w:left="4025" w:hanging="360"/>
      </w:pPr>
    </w:lvl>
    <w:lvl w:ilvl="5" w:tentative="0">
      <w:start w:val="1"/>
      <w:numFmt w:val="lowerRoman"/>
      <w:lvlText w:val="%6."/>
      <w:lvlJc w:val="right"/>
      <w:pPr>
        <w:spacing w:beforeAutospacing="0" w:after="0" w:afterAutospacing="0" w:line="240" w:lineRule="auto"/>
        <w:ind w:left="4745" w:hanging="180"/>
      </w:pPr>
    </w:lvl>
    <w:lvl w:ilvl="6" w:tentative="0">
      <w:start w:val="1"/>
      <w:numFmt w:val="decimal"/>
      <w:lvlText w:val="%7."/>
      <w:lvlJc w:val="left"/>
      <w:pPr>
        <w:spacing w:beforeAutospacing="0" w:after="0" w:afterAutospacing="0" w:line="240" w:lineRule="auto"/>
        <w:ind w:left="5465" w:hanging="360"/>
      </w:pPr>
    </w:lvl>
    <w:lvl w:ilvl="7" w:tentative="0">
      <w:start w:val="1"/>
      <w:numFmt w:val="lowerLetter"/>
      <w:lvlText w:val="%8."/>
      <w:lvlJc w:val="left"/>
      <w:pPr>
        <w:spacing w:beforeAutospacing="0" w:after="0" w:afterAutospacing="0" w:line="240" w:lineRule="auto"/>
        <w:ind w:left="6185" w:hanging="360"/>
      </w:pPr>
    </w:lvl>
    <w:lvl w:ilvl="8" w:tentative="0">
      <w:start w:val="1"/>
      <w:numFmt w:val="lowerRoman"/>
      <w:lvlText w:val="%9."/>
      <w:lvlJc w:val="right"/>
      <w:pPr>
        <w:spacing w:beforeAutospacing="0" w:after="0" w:afterAutospacing="0" w:line="240" w:lineRule="auto"/>
        <w:ind w:left="6905" w:hanging="180"/>
      </w:pPr>
    </w:lvl>
  </w:abstractNum>
  <w:abstractNum w:abstractNumId="3">
    <w:nsid w:val="7F99F07F"/>
    <w:multiLevelType w:val="multilevel"/>
    <w:tmpl w:val="7F99F07F"/>
    <w:lvl w:ilvl="0" w:tentative="0">
      <w:start w:val="1"/>
      <w:numFmt w:val="decimal"/>
      <w:lvlText w:val="%1."/>
      <w:lvlJc w:val="left"/>
      <w:pPr>
        <w:ind w:left="3550" w:hanging="283"/>
        <w:jc w:val="right"/>
      </w:pPr>
      <w:rPr>
        <w:rFonts w:ascii="Times New Roman" w:hAnsi="Times New Roman"/>
        <w:b/>
        <w:i w:val="0"/>
        <w:sz w:val="28"/>
      </w:rPr>
    </w:lvl>
    <w:lvl w:ilvl="1" w:tentative="0">
      <w:start w:val="0"/>
      <w:numFmt w:val="bullet"/>
      <w:lvlText w:val="•"/>
      <w:lvlJc w:val="left"/>
      <w:pPr>
        <w:ind w:left="4228" w:hanging="283"/>
      </w:pPr>
    </w:lvl>
    <w:lvl w:ilvl="2" w:tentative="0">
      <w:start w:val="0"/>
      <w:numFmt w:val="bullet"/>
      <w:lvlText w:val="•"/>
      <w:lvlJc w:val="left"/>
      <w:pPr>
        <w:ind w:left="4896" w:hanging="283"/>
      </w:pPr>
    </w:lvl>
    <w:lvl w:ilvl="3" w:tentative="0">
      <w:start w:val="0"/>
      <w:numFmt w:val="bullet"/>
      <w:lvlText w:val="•"/>
      <w:lvlJc w:val="left"/>
      <w:pPr>
        <w:ind w:left="5565" w:hanging="283"/>
      </w:pPr>
    </w:lvl>
    <w:lvl w:ilvl="4" w:tentative="0">
      <w:start w:val="0"/>
      <w:numFmt w:val="bullet"/>
      <w:lvlText w:val="•"/>
      <w:lvlJc w:val="left"/>
      <w:pPr>
        <w:ind w:left="6233" w:hanging="283"/>
      </w:pPr>
    </w:lvl>
    <w:lvl w:ilvl="5" w:tentative="0">
      <w:start w:val="0"/>
      <w:numFmt w:val="bullet"/>
      <w:lvlText w:val="•"/>
      <w:lvlJc w:val="left"/>
      <w:pPr>
        <w:ind w:left="6902" w:hanging="283"/>
      </w:pPr>
    </w:lvl>
    <w:lvl w:ilvl="6" w:tentative="0">
      <w:start w:val="0"/>
      <w:numFmt w:val="bullet"/>
      <w:lvlText w:val="•"/>
      <w:lvlJc w:val="left"/>
      <w:pPr>
        <w:ind w:left="7570" w:hanging="283"/>
      </w:pPr>
    </w:lvl>
    <w:lvl w:ilvl="7" w:tentative="0">
      <w:start w:val="0"/>
      <w:numFmt w:val="bullet"/>
      <w:lvlText w:val="•"/>
      <w:lvlJc w:val="left"/>
      <w:pPr>
        <w:ind w:left="8238" w:hanging="283"/>
      </w:pPr>
    </w:lvl>
    <w:lvl w:ilvl="8" w:tentative="0">
      <w:start w:val="0"/>
      <w:numFmt w:val="bullet"/>
      <w:lvlText w:val="•"/>
      <w:lvlJc w:val="left"/>
      <w:pPr>
        <w:ind w:left="8907" w:hanging="283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F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SimSun" w:cs="Times New Roman"/>
      <w:color w:val="auto"/>
      <w:sz w:val="22"/>
      <w:u w:val="none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ody Text"/>
    <w:basedOn w:val="1"/>
    <w:qFormat/>
    <w:uiPriority w:val="0"/>
    <w:rPr>
      <w:rFonts w:ascii="Times New Roman" w:hAnsi="Times New Roman"/>
      <w:sz w:val="24"/>
    </w:rPr>
  </w:style>
  <w:style w:type="paragraph" w:styleId="6">
    <w:name w:val="List Paragraph"/>
    <w:basedOn w:val="1"/>
    <w:qFormat/>
    <w:uiPriority w:val="0"/>
    <w:pPr>
      <w:ind w:left="299" w:hanging="282"/>
      <w:jc w:val="left"/>
    </w:pPr>
    <w:rPr>
      <w:rFonts w:ascii="Times New Roman" w:hAnsi="Times New Roman"/>
    </w:rPr>
  </w:style>
  <w:style w:type="paragraph" w:customStyle="1" w:styleId="7">
    <w:name w:val="Default"/>
    <w:basedOn w:val="1"/>
    <w:qFormat/>
    <w:uiPriority w:val="0"/>
    <w:pPr>
      <w:suppressAutoHyphens w:val="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2025-10-25T20:55:29Z</dcterms:created>
  <dc:creator>Alexa</dc:creator>
  <cp:lastModifiedBy>Alexa</cp:lastModifiedBy>
  <dcterms:modified xsi:type="dcterms:W3CDTF">2025-10-25T20:59:38Z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FE99DC5817F84030A55FA09921EEB41D_12</vt:lpwstr>
  </property>
</Properties>
</file>