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28180E" w14:textId="11FDC375" w:rsidR="00D555EB" w:rsidRPr="00882C60" w:rsidRDefault="00D555EB" w:rsidP="00D555EB">
      <w:pPr>
        <w:spacing w:after="0"/>
        <w:ind w:firstLine="709"/>
        <w:jc w:val="center"/>
        <w:rPr>
          <w:b/>
          <w:bCs/>
          <w:lang w:val="uk-UA"/>
        </w:rPr>
      </w:pPr>
      <w:bookmarkStart w:id="0" w:name="_GoBack"/>
      <w:bookmarkEnd w:id="0"/>
      <w:proofErr w:type="spellStart"/>
      <w:r w:rsidRPr="00882C60">
        <w:rPr>
          <w:b/>
          <w:bCs/>
        </w:rPr>
        <w:t>Лекц</w:t>
      </w:r>
      <w:r w:rsidRPr="00882C60">
        <w:rPr>
          <w:b/>
          <w:bCs/>
          <w:lang w:val="uk-UA"/>
        </w:rPr>
        <w:t>ія</w:t>
      </w:r>
      <w:proofErr w:type="spellEnd"/>
      <w:r w:rsidRPr="00882C60">
        <w:rPr>
          <w:b/>
          <w:bCs/>
          <w:lang w:val="uk-UA"/>
        </w:rPr>
        <w:t xml:space="preserve"> 1</w:t>
      </w:r>
      <w:r>
        <w:rPr>
          <w:b/>
          <w:bCs/>
          <w:lang w:val="uk-UA"/>
        </w:rPr>
        <w:t>1</w:t>
      </w:r>
      <w:r w:rsidRPr="00882C60">
        <w:rPr>
          <w:b/>
          <w:bCs/>
          <w:lang w:val="uk-UA"/>
        </w:rPr>
        <w:t>.</w:t>
      </w:r>
    </w:p>
    <w:p w14:paraId="4B2F7BCB" w14:textId="77777777" w:rsidR="00D555EB" w:rsidRPr="00882C60" w:rsidRDefault="00D555EB" w:rsidP="00D555EB">
      <w:pPr>
        <w:spacing w:after="0"/>
        <w:ind w:firstLine="709"/>
        <w:jc w:val="center"/>
        <w:rPr>
          <w:b/>
          <w:bCs/>
          <w:lang w:val="uk-UA"/>
        </w:rPr>
      </w:pPr>
    </w:p>
    <w:p w14:paraId="77AD091D" w14:textId="77777777" w:rsidR="00D555EB" w:rsidRDefault="00D555EB" w:rsidP="00D555EB">
      <w:pPr>
        <w:spacing w:after="0"/>
        <w:ind w:firstLine="709"/>
        <w:jc w:val="center"/>
        <w:rPr>
          <w:b/>
          <w:bCs/>
          <w:lang w:val="uk-UA"/>
        </w:rPr>
      </w:pPr>
      <w:r w:rsidRPr="00882C60">
        <w:rPr>
          <w:b/>
          <w:bCs/>
          <w:lang w:val="uk-UA"/>
        </w:rPr>
        <w:t>Відносини НАТО і Росії 2022-2024 рр.</w:t>
      </w:r>
    </w:p>
    <w:p w14:paraId="44438CBB" w14:textId="6C04AC3C" w:rsidR="00D555EB" w:rsidRDefault="00D555EB" w:rsidP="00D555EB">
      <w:pPr>
        <w:spacing w:after="0"/>
        <w:ind w:firstLine="709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Частина </w:t>
      </w:r>
      <w:r>
        <w:rPr>
          <w:b/>
          <w:bCs/>
          <w:lang w:val="uk-UA"/>
        </w:rPr>
        <w:t>2</w:t>
      </w:r>
      <w:r>
        <w:rPr>
          <w:b/>
          <w:bCs/>
          <w:lang w:val="uk-UA"/>
        </w:rPr>
        <w:t>.</w:t>
      </w:r>
    </w:p>
    <w:p w14:paraId="1BEDA037" w14:textId="77777777" w:rsidR="00D555EB" w:rsidRDefault="00D555EB" w:rsidP="00D555EB">
      <w:pPr>
        <w:spacing w:before="100" w:beforeAutospacing="1" w:after="100" w:afterAutospacing="1" w:line="360" w:lineRule="auto"/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</w:pPr>
    </w:p>
    <w:p w14:paraId="026B0A2D" w14:textId="182343D2" w:rsidR="00D555EB" w:rsidRPr="00882C60" w:rsidRDefault="00D555EB" w:rsidP="00D555EB">
      <w:pPr>
        <w:spacing w:before="100" w:beforeAutospacing="1" w:after="100" w:afterAutospacing="1" w:line="360" w:lineRule="auto"/>
        <w:jc w:val="center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Активізація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гібридних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заходів</w:t>
      </w:r>
      <w:proofErr w:type="spellEnd"/>
    </w:p>
    <w:p w14:paraId="5F7202E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активізувала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гібридні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заходи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держав–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партнерів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застосовує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маріонеток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Йдеться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втручання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демократичні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процеси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застосуванням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політичного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й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економічного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тиску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для примусу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широкомасштабні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кампанії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дезінформації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зловмисну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кіберпросторі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незаконну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підривну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спецслужб.</w:t>
      </w:r>
    </w:p>
    <w:p w14:paraId="33E5B48E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оперативники поставили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життя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людей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спричинили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жертви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території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включаючи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, як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"https://www.nato.int/cps/uk/natohq/news_183252.htm"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вибухи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на складах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боєприпасів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Врбетицях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Чехія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, у 2014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та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"https://www.nato.int/cps/en/natohq/news_152787.htm?selectedLocale=en"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застосування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у 2018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нервово-паралітичної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речовини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класу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Солсбері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, Велика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Британія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E4C8042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кібероперації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шкоди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установам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державах–членах НАТО,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зокрема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, як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"https://www.nato.int/cps/en/natohq/news_158911.htm?selectedLocale=uk"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хакерська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атака у 2018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офісів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Організації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заборони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хімічної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(ОЗХЗ) у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Гаазі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Нідерланди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організатором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служба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розвідки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(ГРУ), та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"https://www.nato.int/cps/en/natohq/official_texts_183168.htm"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хакерський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злам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SolarWinds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у США в 2019-2000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рр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.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внаслідок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хакери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доступ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даних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багатьох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приватних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компаній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урядових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установ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27E12132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вдосконалюють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наявні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інструменти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протидії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гібридним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заходам,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забезпечуючи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готовність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 як такого і держав–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стримувати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захищатися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гібридних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нападів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2C33E01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Стратегічне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партнерство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і Китаю</w:t>
      </w:r>
    </w:p>
    <w:p w14:paraId="172E60BE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Поглиблення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партнерства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КНР,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їхні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спроби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підірвати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заснований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правилах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міжнародний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порядок,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суперечать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нашим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цінностям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інтересам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закликають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КНР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постійного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члена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Ради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ООН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відігравати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конструктивну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роль,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засудити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загарбницьку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утриматися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будь-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веденні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припинити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поширювати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хибний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наратив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звинувачує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Україну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розв’язанні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загарбницької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дотримуватися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цілей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принципів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Статуту ООН.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особливо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закликають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КНР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відповідально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утриматися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будь-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летальної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допомоги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69420B3A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Порушення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вихід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договорів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контролю над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озброєннями</w:t>
      </w:r>
      <w:proofErr w:type="spellEnd"/>
    </w:p>
    <w:p w14:paraId="25B59560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Порушення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вибіркове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зобов’язань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контролю над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озброєннями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спричинили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погіршення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ширшого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ландшафту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42304D88" w14:textId="77777777" w:rsidR="00D555EB" w:rsidRPr="00882C60" w:rsidRDefault="00D555EB" w:rsidP="00D555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засуджують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прогнозоване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участі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новому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Договорі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наступальні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озброєння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(СНО),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міжнародній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стабільності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шляхом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обмеження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володіють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США.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–члени Альянсу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"https://www.nato.int/cps/en/natohq/official_texts_211444.htm?selectedLocale=uk"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засуджують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невиконання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обов’язкових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юридичних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зобов’язань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згідно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Договором. Вони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закликають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повернутися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Договору,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відповідально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брати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конструктивну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скороченні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ризиків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21B2316" w14:textId="77777777" w:rsidR="00D555EB" w:rsidRPr="00882C60" w:rsidRDefault="00D555EB" w:rsidP="00D555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також,</w:t>
      </w:r>
      <w:hyperlink r:id="rId5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засуджують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рішення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Росії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вийти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з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історичного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Договору про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звичайні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збройні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сили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в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Європі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(ДЗЗСЄ) 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наріжного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каменя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європейської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архітектури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встановлює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юридично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обов’язкові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підлягають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перевірці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обмеження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категорії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звичайних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озброєнь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техніки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держав-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учасниць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Протягом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багатьох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виконувала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зобов’язання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 ДЗЗСЄ,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зокрема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припинивши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його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2007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без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юридичних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підстав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неодноразово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закликали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Договору.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взаємодіяла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конструктивний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спосіб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здійснювала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кроків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цілковитого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–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члени  Альянсу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закликають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обов’язки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зобов’язання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використати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час,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залишився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виходу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Договору,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зміни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 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–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члени  Альянсу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продовжуватимуть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проводити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консультації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стосовно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наслідків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виходу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ДЗЗСЄ і того,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позначиться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Альянсу.</w:t>
      </w:r>
    </w:p>
    <w:p w14:paraId="761DE42C" w14:textId="77777777" w:rsidR="00D555EB" w:rsidRPr="00882C60" w:rsidRDefault="00D555EB" w:rsidP="00D555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червні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2021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–члени Альянсу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"https://www.nato.int/cps/en/natohq/news_184840.htm?selectedLocale=uk"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висловили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глибокий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жаль з приводу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вийти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з Договору про «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відкрите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небо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згідно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держави-учасниці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право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здійснювати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спостережні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польоти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підвищення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мінімізації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непорозумінь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Вихід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Договору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набув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чинності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18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грудня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2021 року.</w:t>
      </w:r>
    </w:p>
    <w:p w14:paraId="73C75C60" w14:textId="77777777" w:rsidR="00D555EB" w:rsidRPr="00882C60" w:rsidRDefault="00D555EB" w:rsidP="00D555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також засудили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вибіркове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Віденського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документа,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підвищення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шляхом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обміну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таких,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422FBA66" w14:textId="77777777" w:rsidR="00D555EB" w:rsidRPr="00882C60" w:rsidRDefault="00D555EB" w:rsidP="00D555EB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2018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міністри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закордонних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справ держав–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"https://www.nato.int/cps/en/natohq/official_texts_161122.htm?selectedLocale=en"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погодилися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висновком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Сполучених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Штатів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Америки 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того,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фактично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порушила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обов’язки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згідно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 </w:t>
      </w:r>
      <w:hyperlink r:id="rId6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Договором про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ліквідацію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ракет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середньої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і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малої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дальності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(РСМД)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огляду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Договору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ліквідацію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РСМД, 1 лютого 2019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Сполучені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Штати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Америки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ньому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Протягом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подальших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шести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місяців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–члени Альянсу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"https://www.nato.int/cps/en/natohq/news_162996.htm?selectedLocale=uk"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зберігали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відкритість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діалогу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мали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контакти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порушення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нею Договору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Втім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продовжувала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відкидати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факт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порушення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нею Договору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ліквідацію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РСМД,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відмовлялася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відповіді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були б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гідними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довіри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і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вжила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жодних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наочних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повноцінного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дотримання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Договору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верифікації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Внаслідок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2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серпня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2019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Сполучені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Штати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Америки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ухвалили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вихід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Договору </w:t>
      </w:r>
      <w:hyperlink r:id="rId7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за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цілковитої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підтримки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з боку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інших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союзників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по НАТО</w:t>
        </w:r>
      </w:hyperlink>
      <w:r w:rsidRPr="00882C60">
        <w:rPr>
          <w:rFonts w:eastAsia="Times New Roman" w:cs="Times New Roman"/>
          <w:kern w:val="0"/>
          <w:szCs w:val="28"/>
          <w:u w:val="single"/>
          <w:lang w:eastAsia="ru-RU"/>
          <w14:ligatures w14:val="none"/>
        </w:rPr>
        <w:t>.</w:t>
      </w:r>
    </w:p>
    <w:p w14:paraId="3C0EA7B5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Безвідповідальна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поведінка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космосі</w:t>
      </w:r>
      <w:proofErr w:type="spellEnd"/>
    </w:p>
    <w:p w14:paraId="19449DA1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засудили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бездумне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безвідповідальне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"https://www.nato.int/cps/uk/natohq/news_188780.htm"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випробування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протисупутникової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ракети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Федерацію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15 листопада 2021 року.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випробування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призвело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створення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орбітальних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уламків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значно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збільшує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ризик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життя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людей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космічних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об’єктів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багатьох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держав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небезпечна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поведінка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безпосередньо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суперечить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твердженням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те,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вона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виступає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«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мілітаризації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 космосу,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підриває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заснований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правилах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міжнародний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порядок. 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– члени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залишаються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відданими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захисту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збереженню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доступу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 космосу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мирних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цілях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його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освоєння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інтересах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людства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 </w:t>
      </w:r>
    </w:p>
    <w:p w14:paraId="785FD8EA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Агресивна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позиція</w:t>
      </w:r>
      <w:proofErr w:type="spellEnd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i/>
          <w:iCs/>
          <w:kern w:val="0"/>
          <w:szCs w:val="28"/>
          <w:lang w:eastAsia="ru-RU"/>
          <w14:ligatures w14:val="none"/>
        </w:rPr>
        <w:t>Росії</w:t>
      </w:r>
      <w:proofErr w:type="spellEnd"/>
    </w:p>
    <w:p w14:paraId="10118864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свідчать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дотримання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позиції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залякування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Таким чином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очевидним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відстежувати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подій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коригувати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свою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позицію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відповідно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тісно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взаємодіятимуть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виклики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походять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боку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BAA0FB7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1629997A" w14:textId="77777777" w:rsidR="00D555EB" w:rsidRPr="00882C60" w:rsidRDefault="00D555EB" w:rsidP="00D555EB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bookmarkStart w:id="1" w:name="relations"/>
      <w:bookmarkEnd w:id="1"/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Розвиток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відносин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НАТО –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Росія</w:t>
      </w:r>
      <w:proofErr w:type="spellEnd"/>
    </w:p>
    <w:p w14:paraId="54F1A76C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Протягом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понад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тридцяти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прагнула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розбудувати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партнерство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просуваючи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практичне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становили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обопільний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інтерес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Попри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нині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переживають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найскладніший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період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часів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холодної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5B0CCB9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Відносини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започатковано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після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завершення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холодної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розпаду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Радянського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Союзу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вступом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Ради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північноатлантичного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1991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заміну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цьому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форуму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1997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створено Раду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євроатлантичного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партнерства,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 складу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входять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країни-партнери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євроатлантичному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просторі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7AAAC406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Практичну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розпочато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1994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коли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приєдналася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програми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«Партнерство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заради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миру»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відрядила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миротворців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 складу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миру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проводом НАТО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західних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Балканах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наприкінці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1990-х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рр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42F0CD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hyperlink r:id="rId8" w:history="1"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Основоположний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акт НАТО –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Росія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від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1997 року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забезпечив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офіційну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основу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двосторонніх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включаючи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створення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Постійної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ради НАТО –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(ПСР) як форуму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консультацій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1C0BAAD5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заморозила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НАТО через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розбіжності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косовської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кризи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1999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але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після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завершення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військово-повітряної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Косові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відновила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заходи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включаючи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миротворчих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силах КФОР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проводом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Косові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, а також роботу ПСР.</w:t>
      </w:r>
    </w:p>
    <w:p w14:paraId="06A57F5B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У 2002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набули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подальшого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поштовху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коли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"https://www.nato.int/cps/en/natohq/official_texts_19572.htm?"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Римської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декларації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2002 року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 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заміну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ПСР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створено </w:t>
      </w:r>
      <w:hyperlink r:id="rId9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Раду НАТО –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Росія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(РНР)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 як форум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консультацій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досягнення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консенсусу,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просування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ухвалення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рамках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окремі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взаємодіяли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засадах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рівноправного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партнерства з широкого кола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становили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зацікавленість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сторін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16136E99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регулярних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контактів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розбудови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домовилися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створити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політичного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1998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започаткувала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дипломатичну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НАТО. У 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 xml:space="preserve">2001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відкрила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бюро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у 2002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–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br/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бюро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НАТО,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усвідомленню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громадськістю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Федерацією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бюро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цьому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процесу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поширюючи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серед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громадян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офіційну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цифровими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друкованими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каналами,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неурядовим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організаціям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інформуючи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освітні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наукові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проекти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відповідні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установи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потенційних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кандидатів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бюро НАТО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організовувало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візити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штаб-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квартири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Брюсселі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інших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установ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відвідувачів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візити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Федерації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посадовців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НАТО.</w:t>
      </w:r>
    </w:p>
    <w:p w14:paraId="0286A154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–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відкритого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комітетом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Брюсселі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Міністерством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оборони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Федерації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Наявність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безпосереднього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підвищенню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передбачуваності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усуненню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непорозумінь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могли б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вилитися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конфлікт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1E7BA68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Несумірні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Грузії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серпні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2008 року стали приводом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тимчасового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офіційних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засідань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окремих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відновлено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навесні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2009 року.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засуджують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визнання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незалежності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грузинських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регіонів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Абхазії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Південної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Осетії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31E6E5AD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квітні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2014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внаслідок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вторгнення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агресії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незаконної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нелегітимної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анексії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Криму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яку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ніколи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визнає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усіляке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практичне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205E9AD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 xml:space="preserve">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жовтні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2021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своєї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дипломатичної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 НАТО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зажадала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закриття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Інформаційного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бюро Альянсу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роботи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шкодує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приводу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скоротити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політичні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канали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комунікації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готова й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максимально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використовувати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наявні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лінії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зв’язку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сторонами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передбачуваності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мінімізації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ризиків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закликає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чинити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 само.</w:t>
      </w:r>
    </w:p>
    <w:p w14:paraId="37E236CA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Розв’язавши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загарбницьку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відкинула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шлях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дипломатії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неодноразово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пропонували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–члени Альянсу. Вона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докорінно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порушила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міжнародне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право,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включаючи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Статут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Об’єднаних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Своїми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кричуще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знехтувала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принципами,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закріпленими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Основоположному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акті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–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адже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саме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зрадила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свої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зобов’язання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згідно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Основоположним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актом.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Обов’язковою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умовою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зміни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відносин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Федерацією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є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відмова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агресивної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поведінки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цілковите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дотримання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норм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міжнародного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права.</w:t>
      </w:r>
    </w:p>
    <w:p w14:paraId="7C5CABEA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</w:p>
    <w:p w14:paraId="0A3C1A42" w14:textId="77777777" w:rsidR="00D555EB" w:rsidRPr="00882C60" w:rsidRDefault="00D555EB" w:rsidP="00D555EB">
      <w:pPr>
        <w:spacing w:after="0" w:line="360" w:lineRule="auto"/>
        <w:jc w:val="both"/>
        <w:outlineLvl w:val="1"/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</w:pPr>
      <w:bookmarkStart w:id="2" w:name="cooperation"/>
      <w:bookmarkEnd w:id="2"/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Ключові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квітня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2014 року</w:t>
      </w:r>
    </w:p>
    <w:p w14:paraId="3EC81F55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квітні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2014 року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співпрацювали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широкого кола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включаючи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такі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:</w:t>
      </w:r>
    </w:p>
    <w:p w14:paraId="1E66D30D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Підтримка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операцій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проводом НАТО: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Протягом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кількох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надавала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"https://www.nato.int/cps/en/natolive/topics_69366.htm"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Міжнародним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силам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сприяння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безпеці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 (МССБ)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проводом НАТО,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Афганістані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 мандатом ООН,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низці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домовленостей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наземного транзиту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обладнання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учасників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МССБ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територією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Кілька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кораблів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ВМС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задіяно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військово-морській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боротьби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тероризмом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Середземному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hyperlink r:id="rId10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«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Активні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зусилля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»,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 а також у рамках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боротьби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піратством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hyperlink r:id="rId11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«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Океанський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щит»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поблизу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узбережжя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Африканського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Рогу.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миротворчого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контингенту на початку 2003 року,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брала участь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миру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проводом НАТО у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"https://www.nato.int/cps/en/natohq/topics_52122.htm"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Боснії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Герцеговині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та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"https://www.nato.int/cps/en/natolive/topics_48818.htm"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Косові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69BB6506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Підтримка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Збройних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сил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Афганістану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hyperlink r:id="rId12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Проект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Цільового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фонду у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галузі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технічного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обслуговування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гелікоптерів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під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егідою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РНР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2011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допоміг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особового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складу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Афганістану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здійснювати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експлуатацію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технічне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обслуговування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національного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вертолітного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парку,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проводити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медичну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евакуацію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кінця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2013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близько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40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афганських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фахівців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обслуговування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гелікоптерів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51F861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Навчання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персоналу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боротьби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з наркотиками для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Афганістану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Центральної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Азії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hyperlink r:id="rId13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Проект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під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егідою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РНР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із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навчання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персоналу у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галузі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боротьби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з наркотиками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розпочато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2005 року,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розбудові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місцевого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потенціалу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контактів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регіоні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посадовцями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середньої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ланки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Афганістану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Казахстану, Киргизстану, Пакистану, Таджикистану,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Туркменістану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й Узбекистану.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Ініціатива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запроваджувалася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Управлінням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наркотиків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злочинності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Об'єднаних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(УНЗ ООН).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рамках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ініціативи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здобули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понад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3500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фахівців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Після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запровадила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новий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проект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УНЗ ООН.</w:t>
      </w:r>
    </w:p>
    <w:p w14:paraId="35675A26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Боротьба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тероризмом</w:t>
      </w:r>
      <w:proofErr w:type="spellEnd"/>
      <w:proofErr w:type="gram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2004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План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боротьби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тероризмом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передбачала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регулярний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обмін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поглиблені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консультації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таких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аспектів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ліквідація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наслідків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надзвичайних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станів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протидія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саморобним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вибуховим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пристроям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гарантування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час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масових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 У рамках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begin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instrText>HYPERLINK "https://www.nato.int/cps/uk/natohq/news_103663.htm"</w:instrTex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separate"/>
      </w:r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Ініціативи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повітряному</w:t>
      </w:r>
      <w:proofErr w:type="spellEnd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color w:val="0080CC"/>
          <w:kern w:val="0"/>
          <w:szCs w:val="28"/>
          <w:lang w:eastAsia="ru-RU"/>
          <w14:ligatures w14:val="none"/>
        </w:rPr>
        <w:t>просторі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fldChar w:fldCharType="end"/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розроблено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систему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обміну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повітряного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руху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раннього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оповіщення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підозрілі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ситуації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повітрі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запобігання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терористичним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нападам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сталися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11 вересня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Сполучених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Штатах Америки. У рамках проекту </w:t>
      </w:r>
      <w:hyperlink r:id="rId14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СТАНДЕКС</w:t>
        </w:r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розроблено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технологію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дистанційного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виявлення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вибухових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пристроїв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громадському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транспорті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причому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червні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2013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технологію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успішно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випробувано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8FA361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Протиракетна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оборона на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театрі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/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захист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балістичних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ракет: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Безпрецедентна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збройним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силам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час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виконання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бойових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спричинена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наявністю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дедалі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більшої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кількості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балістичних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ракет точного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наведення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предметом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обопільного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занепокоєння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За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підсумками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аналізу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розпочатого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2003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сформульовано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оцінку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потенційного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рівня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оперативної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сумісності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систем ПРО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театрі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–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членів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Альянсу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проводилися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командно-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штабні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допомогою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комп'ютерного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моделювання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виробленню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механізмів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процедур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Лісабонському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саміті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2010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лідери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ухвалили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аналіз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балістичних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ракет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домовилися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виробити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аналіз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засад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подальшої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ПРО. Попри те,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продовжує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висловлювати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стурбованість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приводу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майбутньої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системи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НАТО,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– члени Альянсу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наголошують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спрямовано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вона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жодним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чином не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підриватиме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позицію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стримування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виключно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гарантувати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захист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потенційних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ракетних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з-поза меж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євроатлантичного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простору.</w:t>
      </w:r>
    </w:p>
    <w:p w14:paraId="11F961AE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Запобігання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поширенню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ЗМЗ і контроль над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озброєннями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Обговорення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рівні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експертів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зосереджено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питаннях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пов'язаних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запобіганням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ЗМЗ,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виробленні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рекомендацій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вдосконалення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чинних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механізмів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запобігання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ЗМЗ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вивченні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можливостей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практичного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захисту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хімічної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біологічної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Тривали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відверті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обговорення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пов'язаних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контролем над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звичайними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озброєннями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таких,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Договір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звичайні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збройні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Європі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 xml:space="preserve">(ДЗЗСЄ),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Договір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відкрите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небо, а також заходи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зміцнення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довіри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Ключовим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пріоритетом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роботи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ратифікації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Адаптованого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ДЗЗСЄ,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зв'язку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чим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– члени Альянсу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висловили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стурбованість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через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2007 року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односторонньому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порядку «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Договорі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згодом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березні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2015 року,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рішення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призупинити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консультативній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групі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яка регулярно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засідає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обговорення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дотримання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ДЗЗСЄ.</w:t>
      </w:r>
    </w:p>
    <w:p w14:paraId="2724FD78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Питання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Відбулася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низка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семінарів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присвячених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доктрині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досвіду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набутому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внаслідок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інцидентів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нещасних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випадків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залученням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можливостям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вдосконалення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способів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виявлення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саморобних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вибухових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пристроїв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застосуванням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або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радіаційних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речовин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період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2004 до 2007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експерти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представники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країн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залучалися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спостерігачів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чотирьох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польових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випадки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застосування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проводилися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в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усіх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державах – членах Альянсу, 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саме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: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Франції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Великій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Британії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США.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таким заходам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вдалося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підвищити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виробити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розуміння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процедур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випадки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застосування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переконатися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тому,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держави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цілком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здатні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ефективно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відреагувати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будь-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надзвичайний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стан,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пов'язаний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ядерною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11CB358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Безпосереднє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військове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вдосконалено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механізми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зв'язку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егідою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РНР, як при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Командуваннях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трансформації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так і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мета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безпосереднього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полягала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розбудові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довіри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впевненості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поліпшенні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здатності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формувань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співпрацювати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майбутньому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Серед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галузей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охоплених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співпрацею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були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матеріально-технічне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боротьба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тероризмом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пошуково-рятувальні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протидія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піратству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протиракетна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оборона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театрі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захист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балістичних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ракет,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контакти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між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науковцями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й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інші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подібні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заходи.</w:t>
      </w:r>
    </w:p>
    <w:p w14:paraId="55190D2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Пошуково-рятувальні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операції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підводних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човнах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пошуку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рятування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екіпажів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підводних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човнів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постійно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зростала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підписанню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рамкової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угоди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сфері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 лютому 2003 року.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період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2005 до 2011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взяла участь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трьох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пошуково-рятувальних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навчаннях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проводом НАТО.</w:t>
      </w:r>
    </w:p>
    <w:p w14:paraId="3D19CD35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Прозорість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стратегія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реформування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в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оборонній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довірі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прозорості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відбувався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діалог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доктрини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стратегії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політики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зокрема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їхнього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взаємозв'язку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оборонною реформою,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питаннями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розбудови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збройних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сил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розвитку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їхньої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позиції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Ініціативи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запроваджені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оборонної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реформи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зосереджено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еволюції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сектора,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управлінні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кадрами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фінансовими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ресурсами,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реформуванні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оборонно-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промислового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комплексу,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пом'якшенні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наслідків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оборонної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реформи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аспектах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боротьби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тероризмом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період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2002 до 2008 року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Центру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перепідготовки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–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вдалося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соціальній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адаптації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колишніх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військовослужбовців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переході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життя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щодо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пошуку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нового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роботи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перекваліфікації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організації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курсів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професійної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послуг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працевлаштування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Спершу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Центр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функціонував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Москві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згодом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його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діяльність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поширено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регіони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Загалом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 проектом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пройшли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перепідготовку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майже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2820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колишніх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військовослужбовців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причому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понад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80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відсотків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них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змогли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згодом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працевлаштуватися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посадах.</w:t>
      </w:r>
    </w:p>
    <w:p w14:paraId="21E24DC3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Оборонно-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промислове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фундаментальному «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Дослідженні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співробітництва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– </w:t>
      </w:r>
      <w:proofErr w:type="spellStart"/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 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оборонної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промисловості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розробок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технологій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розпочатому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січні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2005 року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lastRenderedPageBreak/>
        <w:t>завершеному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2007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зроблено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висновок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можливість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поєднання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науково-технологічного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потенціалу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сторін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глобальні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загрози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01CDEDB6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Матеріально-технічне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матеріально-технічного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розвивалися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як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так і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площині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зокрема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з таких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аспектів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авіаперевезення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дозаправлення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повітрі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медичне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очищення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води.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Засідання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семінари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зосереджено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створенні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надійної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основи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взаєморозуміння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матеріально-технічного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постачання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сприянню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обміну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інформацією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таких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політика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доктрина,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структури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аналіз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набутого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досвіду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5425179D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Надзвичайні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стани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цивільного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характеру</w:t>
      </w:r>
      <w:proofErr w:type="gram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 У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період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1996 до 2014 року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співпрацювали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вироблення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здатності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спільного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надзвичайних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станів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характеру таких,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землетруси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повені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а також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ліквідації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наслідків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терористичних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нападів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До того ж за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пропозицією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1998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створено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Євроатлантичний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центр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координації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реагування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катастрофи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2E07BA3B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Наукове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співробітництво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Починаючи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1992 року,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брала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активну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участь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заходах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програми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«Наука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заради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миру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 (НМБ).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науковці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й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експерти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прагнули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знайти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можливості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розв'язання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широкого кола проблем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насамперед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таких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питань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захист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від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хімічних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біологічних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радіаційних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ядерних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речовин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виявлення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боротьба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тероризмом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(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зокрема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виявлення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вибухових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пристроїв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рамках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згаданого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вище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проекту СТАНДЕКС), а також з проблем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довкілля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таких, як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ризик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виливу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нафти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місця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захоронення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боєприпасів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Балтійському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морі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</w:t>
      </w:r>
      <w:proofErr w:type="gram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 рамках</w:t>
      </w:r>
      <w:proofErr w:type="gram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гранту,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наданого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програмою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«Наука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заради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миру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безпеки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»,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забезпечено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підтримку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досліджень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російського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науковця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Жореса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Алфьорова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став </w:t>
      </w:r>
      <w:hyperlink r:id="rId15" w:history="1"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лауреатом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Нобелівської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премії</w:t>
        </w:r>
        <w:proofErr w:type="spellEnd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 xml:space="preserve"> з </w:t>
        </w:r>
        <w:proofErr w:type="spellStart"/>
        <w:r w:rsidRPr="00882C60">
          <w:rPr>
            <w:rFonts w:eastAsia="Times New Roman" w:cs="Times New Roman"/>
            <w:color w:val="0080CC"/>
            <w:kern w:val="0"/>
            <w:szCs w:val="28"/>
            <w:lang w:eastAsia="ru-RU"/>
            <w14:ligatures w14:val="none"/>
          </w:rPr>
          <w:t>фізики</w:t>
        </w:r>
        <w:proofErr w:type="spellEnd"/>
      </w:hyperlink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.</w:t>
      </w:r>
    </w:p>
    <w:p w14:paraId="79802BE4" w14:textId="77777777" w:rsidR="00D555EB" w:rsidRPr="00882C60" w:rsidRDefault="00D555EB" w:rsidP="00D555EB">
      <w:pPr>
        <w:spacing w:before="100" w:beforeAutospacing="1" w:after="100" w:afterAutospacing="1" w:line="360" w:lineRule="auto"/>
        <w:jc w:val="both"/>
        <w:rPr>
          <w:rFonts w:eastAsia="Times New Roman" w:cs="Times New Roman"/>
          <w:kern w:val="0"/>
          <w:szCs w:val="28"/>
          <w:lang w:eastAsia="ru-RU"/>
          <w14:ligatures w14:val="none"/>
        </w:rPr>
      </w:pP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lastRenderedPageBreak/>
        <w:t>Мовна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підготовка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вивчення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термінології</w:t>
      </w:r>
      <w:proofErr w:type="spellEnd"/>
      <w:r w:rsidRPr="00882C60">
        <w:rPr>
          <w:rFonts w:eastAsia="Times New Roman" w:cs="Times New Roman"/>
          <w:b/>
          <w:bCs/>
          <w:kern w:val="0"/>
          <w:szCs w:val="28"/>
          <w:lang w:eastAsia="ru-RU"/>
          <w14:ligatures w14:val="none"/>
        </w:rPr>
        <w:t>: </w:t>
      </w:r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З метою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поліпшення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розуміння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термінів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концепцій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яких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вживають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НАТО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Росія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,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розроблено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глосарії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усього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спектра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галузей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. У 2011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році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мовну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співпрацю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було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розширено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завдяки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запровадженню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життя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проекту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із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гармонізації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мовної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підготовки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для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військових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і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окремих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цивільних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фахівців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з </w:t>
      </w:r>
      <w:proofErr w:type="spellStart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>Міністерства</w:t>
      </w:r>
      <w:proofErr w:type="spellEnd"/>
      <w:r w:rsidRPr="00882C60">
        <w:rPr>
          <w:rFonts w:eastAsia="Times New Roman" w:cs="Times New Roman"/>
          <w:kern w:val="0"/>
          <w:szCs w:val="28"/>
          <w:lang w:eastAsia="ru-RU"/>
          <w14:ligatures w14:val="none"/>
        </w:rPr>
        <w:t xml:space="preserve"> оборони РФ.</w:t>
      </w:r>
    </w:p>
    <w:p w14:paraId="4520CE74" w14:textId="77777777" w:rsidR="00D555EB" w:rsidRPr="00882C60" w:rsidRDefault="00D555EB" w:rsidP="00D555EB">
      <w:pPr>
        <w:spacing w:after="0" w:line="360" w:lineRule="auto"/>
        <w:ind w:firstLine="709"/>
        <w:jc w:val="both"/>
        <w:rPr>
          <w:rFonts w:cs="Times New Roman"/>
          <w:b/>
          <w:bCs/>
          <w:szCs w:val="28"/>
        </w:rPr>
      </w:pPr>
    </w:p>
    <w:p w14:paraId="23C61BD0" w14:textId="77777777" w:rsidR="00F12C76" w:rsidRDefault="00F12C76" w:rsidP="00D555EB">
      <w:pPr>
        <w:spacing w:after="0"/>
        <w:ind w:firstLine="709"/>
        <w:jc w:val="both"/>
      </w:pPr>
    </w:p>
    <w:sectPr w:rsidR="00F12C76" w:rsidSect="00F127E1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7E797C"/>
    <w:multiLevelType w:val="multilevel"/>
    <w:tmpl w:val="BEE619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70311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7E12"/>
    <w:rsid w:val="00257E12"/>
    <w:rsid w:val="006C0B77"/>
    <w:rsid w:val="008242FF"/>
    <w:rsid w:val="00870751"/>
    <w:rsid w:val="00922C48"/>
    <w:rsid w:val="00B915B7"/>
    <w:rsid w:val="00D555EB"/>
    <w:rsid w:val="00EA59DF"/>
    <w:rsid w:val="00EE4070"/>
    <w:rsid w:val="00F127E1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8B2E1"/>
  <w15:chartTrackingRefBased/>
  <w15:docId w15:val="{36BB2BD8-EC09-44AA-9DF8-70DE227DE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555EB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to.int/cps/en/natohq/official_texts_25468.htm" TargetMode="External"/><Relationship Id="rId13" Type="http://schemas.openxmlformats.org/officeDocument/2006/relationships/hyperlink" Target="https://www.nato.int/cps/uk/natohq/news_86310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nato.int/cps/en/natohq/official_texts_168164.htm" TargetMode="External"/><Relationship Id="rId12" Type="http://schemas.openxmlformats.org/officeDocument/2006/relationships/hyperlink" Target="https://www.nato.int/cps/uk/natohq/news_86593.htm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nato.int/cps/uk/natohq/news_150016.htm" TargetMode="External"/><Relationship Id="rId11" Type="http://schemas.openxmlformats.org/officeDocument/2006/relationships/hyperlink" Target="https://www.nato.int/cps/en/natolive/topics_48815.htm" TargetMode="External"/><Relationship Id="rId5" Type="http://schemas.openxmlformats.org/officeDocument/2006/relationships/hyperlink" Target="https://www.nato.int/cps/en/natohq/official_texts_215586.htm?selectedLocale=uk" TargetMode="External"/><Relationship Id="rId15" Type="http://schemas.openxmlformats.org/officeDocument/2006/relationships/hyperlink" Target="https://www.nato.int/cps/en/natohq/news_17958.htm" TargetMode="External"/><Relationship Id="rId10" Type="http://schemas.openxmlformats.org/officeDocument/2006/relationships/hyperlink" Target="https://www.nato.int/cps/en/natohq/topics_7932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to.int/cps/uk/natohq/topics_50091.htm" TargetMode="External"/><Relationship Id="rId14" Type="http://schemas.openxmlformats.org/officeDocument/2006/relationships/hyperlink" Target="https://www.nato.int/cps/uk/natohq/news_104536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3526</Words>
  <Characters>20102</Characters>
  <Application>Microsoft Office Word</Application>
  <DocSecurity>0</DocSecurity>
  <Lines>167</Lines>
  <Paragraphs>47</Paragraphs>
  <ScaleCrop>false</ScaleCrop>
  <Company/>
  <LinksUpToDate>false</LinksUpToDate>
  <CharactersWithSpaces>23581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2024-02-12T11:45:00Z</dcterms:created>
  <dcterms:modified xsi:type="dcterms:W3CDTF">2024-02-12T11:47:00Z</dcterms:modified>
</cp:coreProperties>
</file>