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229" w:rsidRPr="003A2553" w:rsidRDefault="00F11229" w:rsidP="00F11229">
      <w:pPr>
        <w:spacing w:after="120" w:line="240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F11229" w:rsidRPr="00A62EC8" w:rsidRDefault="00F11229" w:rsidP="00F11229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</w:pPr>
      <w:r w:rsidRPr="00A62EC8">
        <w:rPr>
          <w:rFonts w:ascii="Times New Roman" w:eastAsia="MS Mincho" w:hAnsi="Times New Roman" w:cs="Times New Roman"/>
          <w:b/>
          <w:bCs/>
          <w:sz w:val="24"/>
          <w:szCs w:val="24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4253"/>
        <w:gridCol w:w="2126"/>
        <w:gridCol w:w="1656"/>
      </w:tblGrid>
      <w:tr w:rsidR="00F11229" w:rsidRPr="00A62EC8" w:rsidTr="0054219B">
        <w:trPr>
          <w:cantSplit/>
          <w:trHeight w:val="205"/>
          <w:jc w:val="center"/>
        </w:trPr>
        <w:tc>
          <w:tcPr>
            <w:tcW w:w="1967" w:type="dxa"/>
            <w:vMerge w:val="restart"/>
          </w:tcPr>
          <w:p w:rsidR="00F11229" w:rsidRPr="00A62EC8" w:rsidRDefault="00F11229" w:rsidP="0054219B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caps/>
                <w:sz w:val="24"/>
                <w:szCs w:val="24"/>
                <w:lang w:val="uk-UA"/>
              </w:rPr>
              <w:t>З</w:t>
            </w: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а шкалою</w:t>
            </w:r>
          </w:p>
          <w:p w:rsidR="00F11229" w:rsidRPr="00A62EC8" w:rsidRDefault="00F11229" w:rsidP="0054219B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F11229" w:rsidRPr="00A62EC8" w:rsidRDefault="00F11229" w:rsidP="0054219B">
            <w:pPr>
              <w:keepNext/>
              <w:keepLines/>
              <w:spacing w:after="0" w:line="240" w:lineRule="auto"/>
              <w:ind w:right="-108"/>
              <w:jc w:val="center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шкалою    університету</w:t>
            </w:r>
          </w:p>
        </w:tc>
        <w:tc>
          <w:tcPr>
            <w:tcW w:w="3782" w:type="dxa"/>
            <w:gridSpan w:val="2"/>
          </w:tcPr>
          <w:p w:rsidR="00F11229" w:rsidRPr="00A62EC8" w:rsidRDefault="00F11229" w:rsidP="0054219B">
            <w:pPr>
              <w:keepNext/>
              <w:keepLines/>
              <w:tabs>
                <w:tab w:val="num" w:pos="0"/>
              </w:tabs>
              <w:spacing w:before="40"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 національною шкалою</w:t>
            </w:r>
          </w:p>
        </w:tc>
      </w:tr>
      <w:tr w:rsidR="00F11229" w:rsidRPr="00A62EC8" w:rsidTr="0054219B">
        <w:trPr>
          <w:cantSplit/>
          <w:trHeight w:val="58"/>
          <w:jc w:val="center"/>
        </w:trPr>
        <w:tc>
          <w:tcPr>
            <w:tcW w:w="1967" w:type="dxa"/>
            <w:vMerge/>
          </w:tcPr>
          <w:p w:rsidR="00F11229" w:rsidRPr="00A62EC8" w:rsidRDefault="00F11229" w:rsidP="0054219B">
            <w:pPr>
              <w:keepNext/>
              <w:keepLines/>
              <w:spacing w:before="40" w:after="0" w:line="240" w:lineRule="auto"/>
              <w:outlineLvl w:val="1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F11229" w:rsidRPr="00A62EC8" w:rsidRDefault="00F11229" w:rsidP="0054219B">
            <w:pPr>
              <w:keepNext/>
              <w:keepLines/>
              <w:spacing w:before="40" w:after="0" w:line="240" w:lineRule="auto"/>
              <w:outlineLvl w:val="4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F11229" w:rsidRPr="00A62EC8" w:rsidRDefault="00F11229" w:rsidP="0054219B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656" w:type="dxa"/>
          </w:tcPr>
          <w:p w:rsidR="00F11229" w:rsidRPr="00A62EC8" w:rsidRDefault="00F11229" w:rsidP="0054219B">
            <w:pPr>
              <w:keepNext/>
              <w:keepLines/>
              <w:spacing w:before="40" w:after="0" w:line="240" w:lineRule="auto"/>
              <w:jc w:val="center"/>
              <w:outlineLvl w:val="2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F11229" w:rsidRPr="00A62EC8" w:rsidRDefault="00F11229" w:rsidP="0054219B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5 (відмінно)</w:t>
            </w:r>
          </w:p>
        </w:tc>
        <w:tc>
          <w:tcPr>
            <w:tcW w:w="1656" w:type="dxa"/>
            <w:vMerge w:val="restart"/>
            <w:vAlign w:val="center"/>
          </w:tcPr>
          <w:p w:rsidR="00F11229" w:rsidRPr="00A62EC8" w:rsidRDefault="00F11229" w:rsidP="0054219B">
            <w:pPr>
              <w:keepNext/>
              <w:keepLines/>
              <w:spacing w:before="40" w:after="0" w:line="240" w:lineRule="auto"/>
              <w:jc w:val="center"/>
              <w:outlineLvl w:val="3"/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Gothic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4 (добре)</w:t>
            </w:r>
          </w:p>
        </w:tc>
        <w:tc>
          <w:tcPr>
            <w:tcW w:w="1656" w:type="dxa"/>
            <w:vMerge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 (задовільно)</w:t>
            </w:r>
          </w:p>
        </w:tc>
        <w:tc>
          <w:tcPr>
            <w:tcW w:w="1656" w:type="dxa"/>
            <w:vMerge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2 (незадовільно)</w:t>
            </w:r>
          </w:p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54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Не зараховано</w:t>
            </w:r>
          </w:p>
        </w:tc>
      </w:tr>
      <w:tr w:rsidR="00F11229" w:rsidRPr="00A62EC8" w:rsidTr="0054219B">
        <w:trPr>
          <w:cantSplit/>
          <w:jc w:val="center"/>
        </w:trPr>
        <w:tc>
          <w:tcPr>
            <w:tcW w:w="1967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-68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F</w:t>
            </w:r>
          </w:p>
        </w:tc>
        <w:tc>
          <w:tcPr>
            <w:tcW w:w="4253" w:type="dxa"/>
            <w:vAlign w:val="center"/>
          </w:tcPr>
          <w:p w:rsidR="00F11229" w:rsidRPr="00A62EC8" w:rsidRDefault="00F11229" w:rsidP="0054219B">
            <w:pPr>
              <w:spacing w:after="0" w:line="240" w:lineRule="auto"/>
              <w:ind w:right="223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62EC8"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656" w:type="dxa"/>
            <w:vMerge/>
          </w:tcPr>
          <w:p w:rsidR="00F11229" w:rsidRPr="00A62EC8" w:rsidRDefault="00F11229" w:rsidP="0054219B">
            <w:pPr>
              <w:spacing w:after="0" w:line="240" w:lineRule="auto"/>
              <w:ind w:right="-54"/>
              <w:jc w:val="center"/>
              <w:rPr>
                <w:rFonts w:ascii="Times New Roman" w:eastAsia="MS Mincho" w:hAnsi="Times New Roman" w:cs="Times New Roman"/>
                <w:spacing w:val="-2"/>
                <w:sz w:val="24"/>
                <w:szCs w:val="24"/>
                <w:lang w:val="uk-UA"/>
              </w:rPr>
            </w:pPr>
          </w:p>
        </w:tc>
      </w:tr>
    </w:tbl>
    <w:p w:rsidR="00F11229" w:rsidRPr="003A2553" w:rsidRDefault="00F11229" w:rsidP="00F11229">
      <w:pPr>
        <w:widowControl w:val="0"/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5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 (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відмінно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 (90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–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100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балів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виставляється, якщо здобувач у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повному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обсязі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володіє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навчальним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матеріалом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вільно,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самостійно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аргументовано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викладає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його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під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час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усних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виступів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та надання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письмових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відповідей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глибоко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всебічно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розкриває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зміст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теоретичних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питань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використовуючи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при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цьому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обов’язкову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додаткову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літературу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; демонструє високий рівень застосування отриманих умінь і навичок, а також оригінальний підхід під час виконання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практичних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завдань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11229" w:rsidRPr="003A2553" w:rsidRDefault="00F11229" w:rsidP="00F11229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4 (добре) (75 – 89 балів)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 виставляється, якщо здобувач достатньо повно володіє навчальним матеріалом, обґрунтовано його викладає під час усних виступів та надання  письмових відповідей; в основному розкриває  зміст теоретичних питань, використовуючи при цьому обов’язкову літературу; демонструє високий рівень застосування отриманих умінь і навичок під час виконання практичних завдань. Проте, 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при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виклад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е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нні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деяких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теоретичних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питань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та вирішення практичних завдань йому 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не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вистачає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достатньої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глибини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аргументації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може припускатися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окрем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несуттєв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неточност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ей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незначн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помил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о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к. </w:t>
      </w:r>
    </w:p>
    <w:p w:rsidR="00F11229" w:rsidRPr="003A2553" w:rsidRDefault="00F11229" w:rsidP="00F11229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3 (задовільно) (60 – 74 бали)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в цілому володіє навчальним матеріалом, викладає його основний зміст під час усних виступів та надання письмових відповідей, але без глибокого всебічного аналізу, обґрунтування та аргументації; демонструє середній рівень застосування отриманих умінь і навичок під час виконання практичних завдань, припускаючись при цьому суттєвих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та окремих помилок. </w:t>
      </w:r>
    </w:p>
    <w:p w:rsidR="00F11229" w:rsidRPr="003A2553" w:rsidRDefault="00F11229" w:rsidP="00F11229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Оцінка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2 (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незадовільно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 з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можливістю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 повторного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складання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>( 35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– </w:t>
      </w:r>
      <w:r w:rsidRPr="003A2553">
        <w:rPr>
          <w:rFonts w:ascii="Times New Roman" w:eastAsia="MS Mincho" w:hAnsi="Times New Roman" w:cs="Times New Roman"/>
          <w:b/>
          <w:sz w:val="24"/>
          <w:szCs w:val="24"/>
        </w:rPr>
        <w:t xml:space="preserve">59 </w:t>
      </w:r>
      <w:proofErr w:type="spellStart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балів</w:t>
      </w:r>
      <w:proofErr w:type="spellEnd"/>
      <w:r w:rsidRPr="003A2553">
        <w:rPr>
          <w:rFonts w:ascii="Times New Roman" w:eastAsia="MS Mincho" w:hAnsi="Times New Roman" w:cs="Times New Roman"/>
          <w:b/>
          <w:sz w:val="24"/>
          <w:szCs w:val="24"/>
        </w:rPr>
        <w:t>)</w:t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виставляється, якщо здобувач слабко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володіє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навчальним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матеріалом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. Фрагментарно,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поверхово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(без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аргументації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обґрунтування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)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викладає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його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під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час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усних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виступів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та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надання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письмових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відповідей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;</w:t>
      </w:r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демонструє низький рівень застосування отриманих умінь і навичок під час виконання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практичних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</w:rPr>
        <w:t>завдань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, припускаючись суттєвих помилок та </w:t>
      </w:r>
      <w:proofErr w:type="spellStart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неточностей</w:t>
      </w:r>
      <w:proofErr w:type="spellEnd"/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>.</w:t>
      </w:r>
    </w:p>
    <w:p w:rsidR="00F11229" w:rsidRPr="003A2553" w:rsidRDefault="00F11229" w:rsidP="00F11229">
      <w:pPr>
        <w:widowControl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ab/>
      </w:r>
      <w:r w:rsidRPr="003A2553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Оцінка 1 (незадовільно з обов’язковим повторним вивченням дисципліни) (0 – 34 бали)</w:t>
      </w:r>
      <w:r w:rsidRPr="003A2553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виставляється, якщо здобувач майже не володіє навчальним матеріалом, не в змозі розкрити зміст більшості питань під час усних виступів та надання письмових відповідей; не вміє застосовувати отримані уміння й навички під час виконання практичних завдань. </w:t>
      </w:r>
    </w:p>
    <w:p w:rsidR="00254A5E" w:rsidRPr="00F11229" w:rsidRDefault="00254A5E">
      <w:pPr>
        <w:rPr>
          <w:lang w:val="uk-UA"/>
        </w:rPr>
      </w:pPr>
    </w:p>
    <w:sectPr w:rsidR="00254A5E" w:rsidRPr="00F11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29"/>
    <w:rsid w:val="00254A5E"/>
    <w:rsid w:val="00D16EF1"/>
    <w:rsid w:val="00F1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0858FE7-6324-AA43-B97D-7E08FB6E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229"/>
    <w:pPr>
      <w:spacing w:after="160" w:line="259" w:lineRule="auto"/>
    </w:pPr>
    <w:rPr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Bondarenko</dc:creator>
  <cp:keywords/>
  <dc:description/>
  <cp:lastModifiedBy>Iryna Bondarenko</cp:lastModifiedBy>
  <cp:revision>1</cp:revision>
  <dcterms:created xsi:type="dcterms:W3CDTF">2024-02-12T17:37:00Z</dcterms:created>
  <dcterms:modified xsi:type="dcterms:W3CDTF">2024-02-12T17:38:00Z</dcterms:modified>
</cp:coreProperties>
</file>