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453C8" w14:textId="1915E97B" w:rsidR="00620481" w:rsidRDefault="00620481" w:rsidP="0062048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Питання до </w:t>
      </w:r>
      <w:r w:rsidR="00332CEF">
        <w:rPr>
          <w:b/>
          <w:sz w:val="28"/>
          <w:szCs w:val="28"/>
        </w:rPr>
        <w:t>підсумкового тестування</w:t>
      </w:r>
    </w:p>
    <w:p w14:paraId="2BFEC366" w14:textId="77777777" w:rsidR="00620481" w:rsidRDefault="00620481" w:rsidP="00620481">
      <w:pPr>
        <w:ind w:firstLine="720"/>
        <w:jc w:val="center"/>
        <w:rPr>
          <w:b/>
          <w:sz w:val="28"/>
          <w:szCs w:val="28"/>
        </w:rPr>
      </w:pPr>
    </w:p>
    <w:p w14:paraId="679AEC2E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Сутність трансфертного ціноутворення. </w:t>
      </w:r>
    </w:p>
    <w:p w14:paraId="3D638F88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Визначення сутності понять «трансфертна ціна» та «трансфертне ціноутворення». </w:t>
      </w:r>
    </w:p>
    <w:p w14:paraId="2F8620AF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Труднощі застосування трансфертного ціноутворення в Україні. </w:t>
      </w:r>
    </w:p>
    <w:p w14:paraId="47A0AFF7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Аналіз мотивів суб'єктів трансфертного ціноутворення. </w:t>
      </w:r>
    </w:p>
    <w:p w14:paraId="7A8B8120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>Характеристика принципу «витягнутої руки».</w:t>
      </w:r>
    </w:p>
    <w:p w14:paraId="54E5A621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Контрольовані операції та звітність про їх здійснення. </w:t>
      </w:r>
    </w:p>
    <w:p w14:paraId="0923236C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Критерії відбору та умови визнання господарських операцій контрольованими. </w:t>
      </w:r>
    </w:p>
    <w:p w14:paraId="24129B23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>Етапи відбору та умови визнання операцій контрольованими.</w:t>
      </w:r>
    </w:p>
    <w:p w14:paraId="78D64A54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Проблеми регулювання контрольованих операцій. </w:t>
      </w:r>
    </w:p>
    <w:p w14:paraId="4FEE76B2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Законодавство України стосовно трансфертного ціноутворення та основна документація з ТЦУ. </w:t>
      </w:r>
    </w:p>
    <w:p w14:paraId="0A4C6003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>Норми чинного законодавства з питань трансфертного ціноутворення.</w:t>
      </w:r>
      <w:r w:rsidRPr="00332CEF">
        <w:rPr>
          <w:sz w:val="28"/>
          <w:szCs w:val="28"/>
          <w:lang w:val="ru-RU"/>
        </w:rPr>
        <w:t xml:space="preserve"> </w:t>
      </w:r>
    </w:p>
    <w:p w14:paraId="2F0C024C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Оперативне інформування про зміни в законодавстві України та нормативних актах стосовно трансфертного ціноутворення. </w:t>
      </w:r>
    </w:p>
    <w:p w14:paraId="7AC0E1B7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>Наслідки порушення чинного законодавства у сфері трансфертного ціноутворення.</w:t>
      </w:r>
    </w:p>
    <w:p w14:paraId="54A02DF4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Документація з трансфертного ціноутворення. </w:t>
      </w:r>
    </w:p>
    <w:p w14:paraId="200FC8E0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Первинні документи з обліку операцій із трансфертними цінами. </w:t>
      </w:r>
    </w:p>
    <w:p w14:paraId="189A0E0C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>Трирівнева структура звітності з трансфертного ціноутворення</w:t>
      </w:r>
    </w:p>
    <w:p w14:paraId="69199F93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Методи визначення ціни у контрольованих операціях. </w:t>
      </w:r>
    </w:p>
    <w:p w14:paraId="170BB39B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Характеристика методу порівняльної неконтрольованої ціни (аналогів продажу). </w:t>
      </w:r>
    </w:p>
    <w:p w14:paraId="36F5F5AF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Характеристика методу ціни перепродажу. </w:t>
      </w:r>
    </w:p>
    <w:p w14:paraId="14DF1324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Характеристика методу "Витрати плюс". </w:t>
      </w:r>
    </w:p>
    <w:p w14:paraId="4CEE1A61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Характеристика методу чистого прибутку. </w:t>
      </w:r>
    </w:p>
    <w:p w14:paraId="6576CDF5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Характеристика методу розподілення прибутку. </w:t>
      </w:r>
    </w:p>
    <w:p w14:paraId="19C81E3A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Особливості здійснення податкового контролю у сфері трансфертного ціноутворення. </w:t>
      </w:r>
    </w:p>
    <w:p w14:paraId="2D3C51F7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>План дій для вирішення проблеми розмивання бази оподаткування та переміщення прибутку (</w:t>
      </w:r>
      <w:proofErr w:type="spellStart"/>
      <w:r w:rsidRPr="00832431">
        <w:rPr>
          <w:sz w:val="28"/>
          <w:szCs w:val="28"/>
        </w:rPr>
        <w:t>Base</w:t>
      </w:r>
      <w:proofErr w:type="spellEnd"/>
      <w:r w:rsidRPr="00832431">
        <w:rPr>
          <w:sz w:val="28"/>
          <w:szCs w:val="28"/>
        </w:rPr>
        <w:t xml:space="preserve"> </w:t>
      </w:r>
      <w:proofErr w:type="spellStart"/>
      <w:r w:rsidRPr="00832431">
        <w:rPr>
          <w:sz w:val="28"/>
          <w:szCs w:val="28"/>
        </w:rPr>
        <w:t>Еrosion</w:t>
      </w:r>
      <w:proofErr w:type="spellEnd"/>
      <w:r w:rsidRPr="00832431">
        <w:rPr>
          <w:sz w:val="28"/>
          <w:szCs w:val="28"/>
        </w:rPr>
        <w:t xml:space="preserve"> </w:t>
      </w:r>
      <w:proofErr w:type="spellStart"/>
      <w:r w:rsidRPr="00832431">
        <w:rPr>
          <w:sz w:val="28"/>
          <w:szCs w:val="28"/>
        </w:rPr>
        <w:t>and</w:t>
      </w:r>
      <w:proofErr w:type="spellEnd"/>
      <w:r w:rsidRPr="00832431">
        <w:rPr>
          <w:sz w:val="28"/>
          <w:szCs w:val="28"/>
        </w:rPr>
        <w:t xml:space="preserve"> </w:t>
      </w:r>
      <w:proofErr w:type="spellStart"/>
      <w:r w:rsidRPr="00832431">
        <w:rPr>
          <w:sz w:val="28"/>
          <w:szCs w:val="28"/>
        </w:rPr>
        <w:t>Profit</w:t>
      </w:r>
      <w:proofErr w:type="spellEnd"/>
      <w:r w:rsidRPr="00832431">
        <w:rPr>
          <w:sz w:val="28"/>
          <w:szCs w:val="28"/>
        </w:rPr>
        <w:t xml:space="preserve"> </w:t>
      </w:r>
      <w:proofErr w:type="spellStart"/>
      <w:r w:rsidRPr="00832431">
        <w:rPr>
          <w:sz w:val="28"/>
          <w:szCs w:val="28"/>
        </w:rPr>
        <w:t>Shifting</w:t>
      </w:r>
      <w:proofErr w:type="spellEnd"/>
      <w:r w:rsidRPr="00832431">
        <w:rPr>
          <w:sz w:val="28"/>
          <w:szCs w:val="28"/>
        </w:rPr>
        <w:t xml:space="preserve"> – BEPS). </w:t>
      </w:r>
    </w:p>
    <w:p w14:paraId="7E2141B9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Єдиний стандарт щодо міжнародного автоматичного обміну інформацією (Стандарт CRS). </w:t>
      </w:r>
    </w:p>
    <w:p w14:paraId="5CE363F8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>Вдосконалення організаційних засад податкового контролю трансфертного ціноутворення в Україні.</w:t>
      </w:r>
    </w:p>
    <w:p w14:paraId="1A7F1469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>Податкове коригування у сфері трансфертного ціноутворення</w:t>
      </w:r>
    </w:p>
    <w:p w14:paraId="183EC887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Спеціальна перевірка з трансфертного ціноутворення податковими органами. </w:t>
      </w:r>
    </w:p>
    <w:p w14:paraId="3B9FA85A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>Підстави для перевірки контрольованих операцій.</w:t>
      </w:r>
    </w:p>
    <w:p w14:paraId="770A5F35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>Порядок проведення перевірки контрольованих операцій.</w:t>
      </w:r>
    </w:p>
    <w:p w14:paraId="63F35E47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lastRenderedPageBreak/>
        <w:t>Попередні узгодження щодо трансфертного ціноутворення.</w:t>
      </w:r>
    </w:p>
    <w:p w14:paraId="0A74A489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Предмет і об’єкти узгодження трансфертного ціноутворення платника податків з податковими органами. </w:t>
      </w:r>
    </w:p>
    <w:p w14:paraId="37D8CDF9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Попереднє узгодження цін у контрольованих операціях. </w:t>
      </w:r>
    </w:p>
    <w:p w14:paraId="136297C3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>Порядок та процедура узгодження цін у контрольованих операціях.</w:t>
      </w:r>
    </w:p>
    <w:p w14:paraId="4864C032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Ризики трансфертного ціноутворення. </w:t>
      </w:r>
    </w:p>
    <w:p w14:paraId="5C2E2C62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Загальна характеристика фінансових та юридичних ризиків. </w:t>
      </w:r>
    </w:p>
    <w:p w14:paraId="72698CDB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Ризики додаткового (самостійного) оподаткування. </w:t>
      </w:r>
    </w:p>
    <w:p w14:paraId="564DA4EB" w14:textId="77777777" w:rsidR="0083243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Ризики донарахування податків при перевірці фіскальними органами. </w:t>
      </w:r>
    </w:p>
    <w:p w14:paraId="7BBCB2D8" w14:textId="77777777" w:rsidR="0083243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 xml:space="preserve">Фінансові ризики, пов’язані з адмініструванням податків. </w:t>
      </w:r>
    </w:p>
    <w:p w14:paraId="112602C1" w14:textId="77777777" w:rsidR="00620481" w:rsidRPr="00832431" w:rsidRDefault="00620481" w:rsidP="008324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2431">
        <w:rPr>
          <w:sz w:val="28"/>
          <w:szCs w:val="28"/>
        </w:rPr>
        <w:t>Формування корпоративної стратегії протидії ризикам ТЦУ.</w:t>
      </w:r>
    </w:p>
    <w:p w14:paraId="7A446A5F" w14:textId="77777777" w:rsidR="00620481" w:rsidRPr="00332CEF" w:rsidRDefault="00620481" w:rsidP="00620481">
      <w:pPr>
        <w:jc w:val="center"/>
        <w:rPr>
          <w:b/>
          <w:bCs/>
          <w:sz w:val="28"/>
          <w:szCs w:val="28"/>
          <w:lang w:val="ru-RU"/>
        </w:rPr>
      </w:pPr>
    </w:p>
    <w:p w14:paraId="2DB1AA8F" w14:textId="77777777" w:rsidR="004B592C" w:rsidRDefault="004B592C"/>
    <w:sectPr w:rsidR="004B5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86D7E"/>
    <w:multiLevelType w:val="hybridMultilevel"/>
    <w:tmpl w:val="7D6634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41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81"/>
    <w:rsid w:val="00332CEF"/>
    <w:rsid w:val="004B592C"/>
    <w:rsid w:val="00620481"/>
    <w:rsid w:val="0083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7A69"/>
  <w15:docId w15:val="{8098A8DE-A161-4D8B-833A-09C90910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Holomb</dc:creator>
  <cp:lastModifiedBy>Oleksandr Petrenko</cp:lastModifiedBy>
  <cp:revision>2</cp:revision>
  <dcterms:created xsi:type="dcterms:W3CDTF">2024-02-21T00:55:00Z</dcterms:created>
  <dcterms:modified xsi:type="dcterms:W3CDTF">2024-02-21T00:55:00Z</dcterms:modified>
</cp:coreProperties>
</file>