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83" w:rsidRDefault="003B1FB9" w:rsidP="003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F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Практична робота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</w:t>
      </w:r>
      <w:r w:rsidRPr="003B1F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Системний</w:t>
      </w:r>
      <w:proofErr w:type="spellEnd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підхід</w:t>
      </w:r>
      <w:proofErr w:type="spellEnd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вирішенні</w:t>
      </w:r>
      <w:proofErr w:type="spellEnd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ключових</w:t>
      </w:r>
      <w:proofErr w:type="spellEnd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проблем </w:t>
      </w:r>
      <w:proofErr w:type="spellStart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сучасної</w:t>
      </w:r>
      <w:proofErr w:type="spellEnd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біології</w:t>
      </w:r>
      <w:proofErr w:type="spellEnd"/>
      <w:r w:rsidRPr="003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D241B" w:rsidRDefault="00DD241B" w:rsidP="003B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D241B" w:rsidRPr="00DD241B" w:rsidRDefault="00DD241B" w:rsidP="00DD24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41B">
        <w:rPr>
          <w:rFonts w:ascii="Times New Roman" w:hAnsi="Times New Roman" w:cs="Times New Roman"/>
          <w:sz w:val="28"/>
          <w:szCs w:val="28"/>
        </w:rPr>
        <w:t xml:space="preserve">Робота 1.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метаболічної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COPASI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кінетичної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метаболічної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бути заданий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диференціального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Cambria Math" w:hAnsi="Cambria Math" w:cs="Cambria Math"/>
          <w:sz w:val="28"/>
          <w:szCs w:val="28"/>
        </w:rPr>
        <w:t>𝑑𝑥𝑖</w:t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Cambria Math" w:hAnsi="Cambria Math" w:cs="Cambria Math"/>
          <w:sz w:val="28"/>
          <w:szCs w:val="28"/>
        </w:rPr>
        <w:t>𝑑𝑡</w:t>
      </w:r>
      <w:r w:rsidRPr="00DD241B">
        <w:rPr>
          <w:rFonts w:ascii="Times New Roman" w:hAnsi="Times New Roman" w:cs="Times New Roman"/>
          <w:sz w:val="28"/>
          <w:szCs w:val="28"/>
        </w:rPr>
        <w:t xml:space="preserve"> = </w:t>
      </w:r>
      <w:r w:rsidRPr="00DD241B">
        <w:rPr>
          <w:rFonts w:ascii="Cambria Math" w:hAnsi="Cambria Math" w:cs="Cambria Math"/>
          <w:sz w:val="28"/>
          <w:szCs w:val="28"/>
        </w:rPr>
        <w:t>𝑁𝑣</w:t>
      </w:r>
      <w:r w:rsidRPr="00DD241B">
        <w:rPr>
          <w:rFonts w:ascii="Times New Roman" w:hAnsi="Times New Roman" w:cs="Times New Roman"/>
          <w:sz w:val="28"/>
          <w:szCs w:val="28"/>
        </w:rPr>
        <w:t>(</w:t>
      </w:r>
      <w:r w:rsidRPr="00DD241B">
        <w:rPr>
          <w:rFonts w:ascii="Cambria Math" w:hAnsi="Cambria Math" w:cs="Cambria Math"/>
          <w:sz w:val="28"/>
          <w:szCs w:val="28"/>
        </w:rPr>
        <w:t>𝑥𝑖</w:t>
      </w:r>
      <w:r w:rsidRPr="00DD241B">
        <w:rPr>
          <w:rFonts w:ascii="Times New Roman" w:hAnsi="Times New Roman" w:cs="Times New Roman"/>
          <w:sz w:val="28"/>
          <w:szCs w:val="28"/>
        </w:rPr>
        <w:t xml:space="preserve"> , </w:t>
      </w:r>
      <w:r w:rsidRPr="00DD241B">
        <w:rPr>
          <w:rFonts w:ascii="Cambria Math" w:hAnsi="Cambria Math" w:cs="Cambria Math"/>
          <w:sz w:val="28"/>
          <w:szCs w:val="28"/>
        </w:rPr>
        <w:t>𝑦</w:t>
      </w:r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r w:rsidRPr="00DD241B">
        <w:rPr>
          <w:rFonts w:ascii="Cambria Math" w:hAnsi="Cambria Math" w:cs="Cambria Math"/>
          <w:sz w:val="28"/>
          <w:szCs w:val="28"/>
        </w:rPr>
        <w:t>𝑝</w:t>
      </w:r>
      <w:r w:rsidRPr="00DD241B">
        <w:rPr>
          <w:rFonts w:ascii="Times New Roman" w:hAnsi="Times New Roman" w:cs="Times New Roman"/>
          <w:sz w:val="28"/>
          <w:szCs w:val="28"/>
        </w:rPr>
        <w:t xml:space="preserve">), </w:t>
      </w:r>
      <w:r w:rsidRPr="00DD241B">
        <w:rPr>
          <w:rFonts w:ascii="Cambria Math" w:hAnsi="Cambria Math" w:cs="Cambria Math"/>
          <w:sz w:val="28"/>
          <w:szCs w:val="28"/>
        </w:rPr>
        <w:t>𝑥𝑖</w:t>
      </w:r>
      <w:r w:rsidRPr="00DD241B">
        <w:rPr>
          <w:rFonts w:ascii="Times New Roman" w:hAnsi="Times New Roman" w:cs="Times New Roman"/>
          <w:sz w:val="28"/>
          <w:szCs w:val="28"/>
        </w:rPr>
        <w:t xml:space="preserve"> (0) = </w:t>
      </w:r>
      <w:r w:rsidRPr="00DD241B">
        <w:rPr>
          <w:rFonts w:ascii="Cambria Math" w:hAnsi="Cambria Math" w:cs="Cambria Math"/>
          <w:sz w:val="28"/>
          <w:szCs w:val="28"/>
        </w:rPr>
        <w:t>𝑥𝑖</w:t>
      </w:r>
      <w:r w:rsidRPr="00DD241B">
        <w:rPr>
          <w:rFonts w:ascii="Times New Roman" w:hAnsi="Times New Roman" w:cs="Times New Roman"/>
          <w:sz w:val="28"/>
          <w:szCs w:val="28"/>
        </w:rPr>
        <w:t xml:space="preserve"> _0, яке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кінетичної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N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стехіометрична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топології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r w:rsidRPr="00DD241B">
        <w:rPr>
          <w:rFonts w:ascii="Cambria Math" w:hAnsi="Cambria Math" w:cs="Cambria Math"/>
          <w:sz w:val="28"/>
          <w:szCs w:val="28"/>
        </w:rPr>
        <w:t>𝑥𝑖</w:t>
      </w:r>
      <w:r w:rsidRPr="00DD241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, y —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Початкові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як для x, так і для y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 часом. v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; вони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кінетичних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х і у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Стехіометрія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кінетичного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для нас шлях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математично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відбиваються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стехіометричній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прикладу ми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модель синтезу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гліцерину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модель описано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публікаціях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[5]).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процедуру ми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реакціями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є: 1.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гліцерин-3-фосфатдегідрогеназою (GPD),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дегідроацетонфосфат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(DHAP)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3-фосфогліцерат (G3P): </w:t>
      </w:r>
      <w:r w:rsidRPr="00DD241B">
        <w:rPr>
          <w:rFonts w:ascii="Cambria Math" w:hAnsi="Cambria Math" w:cs="Cambria Math"/>
          <w:sz w:val="28"/>
          <w:szCs w:val="28"/>
        </w:rPr>
        <w:t>𝐷𝐻𝐴𝑃</w:t>
      </w:r>
      <w:r w:rsidRPr="00DD241B">
        <w:rPr>
          <w:rFonts w:ascii="Times New Roman" w:hAnsi="Times New Roman" w:cs="Times New Roman"/>
          <w:sz w:val="28"/>
          <w:szCs w:val="28"/>
        </w:rPr>
        <w:t xml:space="preserve"> + </w:t>
      </w:r>
      <w:r w:rsidRPr="00DD241B">
        <w:rPr>
          <w:rFonts w:ascii="Cambria Math" w:hAnsi="Cambria Math" w:cs="Cambria Math"/>
          <w:sz w:val="28"/>
          <w:szCs w:val="28"/>
        </w:rPr>
        <w:t>𝑁𝐴𝐷𝐻</w:t>
      </w:r>
      <w:r w:rsidRPr="00DD241B">
        <w:rPr>
          <w:rFonts w:ascii="Times New Roman" w:hAnsi="Times New Roman" w:cs="Times New Roman"/>
          <w:sz w:val="28"/>
          <w:szCs w:val="28"/>
        </w:rPr>
        <w:t>←</w:t>
      </w:r>
      <w:r w:rsidRPr="00DD241B">
        <w:rPr>
          <w:rFonts w:ascii="Cambria Math" w:hAnsi="Cambria Math" w:cs="Cambria Math"/>
          <w:sz w:val="28"/>
          <w:szCs w:val="28"/>
        </w:rPr>
        <w:t>𝐺</w:t>
      </w:r>
      <w:r w:rsidRPr="00DD241B">
        <w:rPr>
          <w:rFonts w:ascii="Times New Roman" w:hAnsi="Times New Roman" w:cs="Times New Roman"/>
          <w:sz w:val="28"/>
          <w:szCs w:val="28"/>
        </w:rPr>
        <w:t>3</w:t>
      </w:r>
      <w:r w:rsidRPr="00DD241B">
        <w:rPr>
          <w:rFonts w:ascii="Cambria Math" w:hAnsi="Cambria Math" w:cs="Cambria Math"/>
          <w:sz w:val="28"/>
          <w:szCs w:val="28"/>
        </w:rPr>
        <w:t>𝑃</w:t>
      </w:r>
      <w:r w:rsidRPr="00DD241B">
        <w:rPr>
          <w:rFonts w:ascii="Times New Roman" w:hAnsi="Times New Roman" w:cs="Times New Roman"/>
          <w:sz w:val="28"/>
          <w:szCs w:val="28"/>
        </w:rPr>
        <w:t xml:space="preserve"> + </w:t>
      </w:r>
      <w:r w:rsidRPr="00DD241B">
        <w:rPr>
          <w:rFonts w:ascii="Cambria Math" w:hAnsi="Cambria Math" w:cs="Cambria Math"/>
          <w:sz w:val="28"/>
          <w:szCs w:val="28"/>
        </w:rPr>
        <w:t>𝑁𝐴𝐷</w:t>
      </w:r>
      <w:r w:rsidRPr="00DD241B">
        <w:rPr>
          <w:rFonts w:ascii="Times New Roman" w:hAnsi="Times New Roman" w:cs="Times New Roman"/>
          <w:sz w:val="28"/>
          <w:szCs w:val="28"/>
        </w:rPr>
        <w:t xml:space="preserve"> → 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зворотна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АТР, ADP, F16BP.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стехиометричні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Copasi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Biochemical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Reactions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(рис. 1.1) Рис. 1.1.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стехіометричних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клацаємо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кнопкою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клітинці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стовпця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рядка з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Reaction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заповнювати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як показано на рисунку 2 а.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вводимо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про першу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ферменту,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каталізує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рядок, вводимо саму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стехіометричні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lastRenderedPageBreak/>
        <w:t>коефіцієнти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відокремлюємо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пробілом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зворотна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залишаємо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галочку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Reversible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то вони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наводяться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точки з комою (рис. 1.2а).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Ви можете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Copasi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показаний на рис. 1.2а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зворотної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законом, то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залишаємо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так. 2.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вводимо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про другу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гліцерин-3-фосфатазою (GPP),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3-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фосфогліцерат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гліцерин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Gly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) і фосфат-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: </w:t>
      </w:r>
      <w:r w:rsidRPr="00DD241B">
        <w:rPr>
          <w:rFonts w:ascii="Cambria Math" w:hAnsi="Cambria Math" w:cs="Cambria Math"/>
          <w:sz w:val="28"/>
          <w:szCs w:val="28"/>
        </w:rPr>
        <w:t>𝐺</w:t>
      </w:r>
      <w:r w:rsidRPr="00DD241B">
        <w:rPr>
          <w:rFonts w:ascii="Times New Roman" w:hAnsi="Times New Roman" w:cs="Times New Roman"/>
          <w:sz w:val="28"/>
          <w:szCs w:val="28"/>
        </w:rPr>
        <w:t>3</w:t>
      </w:r>
      <w:r w:rsidRPr="00DD241B">
        <w:rPr>
          <w:rFonts w:ascii="Cambria Math" w:hAnsi="Cambria Math" w:cs="Cambria Math"/>
          <w:sz w:val="28"/>
          <w:szCs w:val="28"/>
        </w:rPr>
        <w:t>𝑃</w:t>
      </w:r>
      <w:r w:rsidRPr="00DD241B">
        <w:rPr>
          <w:rFonts w:ascii="Times New Roman" w:hAnsi="Times New Roman" w:cs="Times New Roman"/>
          <w:sz w:val="28"/>
          <w:szCs w:val="28"/>
        </w:rPr>
        <w:t xml:space="preserve"> → </w:t>
      </w:r>
      <w:r w:rsidRPr="00DD241B">
        <w:rPr>
          <w:rFonts w:ascii="Cambria Math" w:hAnsi="Cambria Math" w:cs="Cambria Math"/>
          <w:sz w:val="28"/>
          <w:szCs w:val="28"/>
        </w:rPr>
        <w:t>𝐺𝑙𝑦</w:t>
      </w:r>
      <w:r w:rsidRPr="00DD241B">
        <w:rPr>
          <w:rFonts w:ascii="Times New Roman" w:hAnsi="Times New Roman" w:cs="Times New Roman"/>
          <w:sz w:val="28"/>
          <w:szCs w:val="28"/>
        </w:rPr>
        <w:t xml:space="preserve"> + </w:t>
      </w:r>
      <w:r w:rsidRPr="00DD241B">
        <w:rPr>
          <w:rFonts w:ascii="Cambria Math" w:hAnsi="Cambria Math" w:cs="Cambria Math"/>
          <w:sz w:val="28"/>
          <w:szCs w:val="28"/>
        </w:rPr>
        <w:t>𝑃</w:t>
      </w:r>
      <w:r w:rsidRPr="00DD241B">
        <w:rPr>
          <w:rFonts w:ascii="Times New Roman" w:hAnsi="Times New Roman" w:cs="Times New Roman"/>
          <w:sz w:val="28"/>
          <w:szCs w:val="28"/>
        </w:rPr>
        <w:t>ℎ</w:t>
      </w:r>
      <w:r w:rsidRPr="00DD241B">
        <w:rPr>
          <w:rFonts w:ascii="Cambria Math" w:hAnsi="Cambria Math" w:cs="Cambria Math"/>
          <w:sz w:val="28"/>
          <w:szCs w:val="28"/>
        </w:rPr>
        <w:t>𝑖</w:t>
      </w:r>
      <w:r w:rsidRPr="00DD241B">
        <w:rPr>
          <w:rFonts w:ascii="Times New Roman" w:hAnsi="Times New Roman" w:cs="Times New Roman"/>
          <w:sz w:val="28"/>
          <w:szCs w:val="28"/>
        </w:rPr>
        <w:t xml:space="preserve">. Результат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показаний на рис. 1.2б.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незворотна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. Рис. 1.2а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гліцерин-3-фосфатдегідрогеназою Рис. 1.2б —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гліцерин-3-фосфатазою.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2. Тип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початкові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вкладку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задач. Ми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додані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відкривається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справа, треба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початкові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: час –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– л (l),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) (рис. 1.3а).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тип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(рис. 1.3б).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моделювати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reactions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NAD, NADH, ATP, ADP, F16BP та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Phi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стехіометрії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стехіометрії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(рис. 1.4):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Mathematical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Matrices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Як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очікувалося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G3P,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споживається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6 Рис. 1.3.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типу та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Рис. 1.4.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lastRenderedPageBreak/>
        <w:t>стехіометрії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Кінетичний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ферментативного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зворотна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бісубстратна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ATP, ADP, F16BP. За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описується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: 16 3 3 16 3 1 1 1 f NADH DHAP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eq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F BP ATP ADP NADH NAD DHAP G P V NAD G P NADH DHAP K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v F BP ATP ADP NADH NAD DHAP G P K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−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</w:rPr>
        <w:t xml:space="preserve"> =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+ + +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+ +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+ +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</w:rPr>
        <w:t xml:space="preserve"> . COPASI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широкий спектр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вбудованих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кінетичних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доступ до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через меню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каталізується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GPD,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вручну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&gt;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меню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Reactions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задач.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відкривається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кнопку (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Edit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), і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ввести формулу,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дужками для 7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введенні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показано на рис. 1.5):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Vf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/(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Knadh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Kdhap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)*(NADH*DHAP-NAD*G3P/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Keq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)/ ((1+F16BP/Kf16BP+ATP/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Katp+ADP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Kadp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)*(1+NADH/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Knadh+NAD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/KNAD)*(1+ DHAP/Kdhap+G3P/KG3P)).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користуйтеся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кнопкою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корегуйте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формулу,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є потреба. Рис. 1.5.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гліцерин-3-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фосфатдегідрогеназою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того, як формула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введена,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Parameters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використовувалися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формулі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8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Соmmit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Reactions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створена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власноруч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рис. 1.6.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табличці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числові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співпадіння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стовпцях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правки,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відкриваючи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комірку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стовпця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Рис. 1.6.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Подібним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введіть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GPP.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lastRenderedPageBreak/>
        <w:t>швидкості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: 3 3 3 1 3 1 1 G P G P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Phi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V G P v K G P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Phi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=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+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+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є такими: V = 13, Kg3p = 3,5,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Kphi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= 1.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модель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скористайтеся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вкладками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&gt;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Parameter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Overview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Parameter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кінетичних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Збережіть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модель. 9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COPASI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великий спектр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меню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Тasks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COPASI результат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виводить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задати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Скористаємося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Output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Specification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Plots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Клацаємо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мишею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рядка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Plot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Plot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натискаємо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Curve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так, як показано на рис. 1.7.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показуємо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перехідних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Transient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Concentration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Утримуючи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виділяємо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reactions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Рис. 1.7.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графічної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у меню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Plots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Повертаємось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У рядку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задаємо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Задаємо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натискаємо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Відключайте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кнопки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унизу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(рис. 1.8). Рис. 1.8. —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 часом 10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модель для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метаболічної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Метаболічна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Х, яка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перетворюватись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на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Квадрати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ферменти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керують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реакціями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 приводить до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Х, 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гальмує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Х на В.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Початкові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: [A]0 = 1mM, [B]0 = 0,1mM, [C]0 = 0,1mM, [X]0 = 0. 1.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оборотну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Міхаеліса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Ментен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неконкурентним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інгібітором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lastRenderedPageBreak/>
        <w:t>кінетичне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: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+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</w:rPr>
        <w:t xml:space="preserve"> + +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−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</w:rPr>
        <w:t xml:space="preserve"> = I f r K I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KmP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KmS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KmP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P V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KmS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S V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[ ] 1 [ ] [ ] 1 [ ] [ ] , де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[S]—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субстрату, [P]—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продукту, [I]—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інгібітора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є субстратом, а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продуктом.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[S], [P] та [I]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. </w:t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R1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Kms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= 0,1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mM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Kmp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= 0,1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mM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Vf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= 10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mM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/(l*s),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Vr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= 0,1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mM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/(l*s), Ki = 0,01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mM.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t>собою</w:t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необоротну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Міхаеліса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>—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Ментен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t>з</w:t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неконкурентним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інгібітором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2-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t>порядку</w:t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кінетичне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7"/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8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F6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8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E6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= 2 [ ] 1 [ ] 1 [ ] max KI I Km S Km S V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R2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: Km = 0,1mM, 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Vmax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= 2mM/(l*s), Ki = 0,1mM. 3.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41B">
        <w:rPr>
          <w:rFonts w:ascii="Times New Roman" w:hAnsi="Times New Roman" w:cs="Times New Roman"/>
          <w:sz w:val="28"/>
          <w:szCs w:val="28"/>
        </w:rPr>
        <w:t>собою</w:t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необоротну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Міхаеліса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>—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Ментен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: [ ] max [ ] Km S V S v + </w:t>
      </w:r>
      <w:r w:rsidRPr="00DD241B">
        <w:rPr>
          <w:rFonts w:ascii="Times New Roman" w:hAnsi="Times New Roman" w:cs="Times New Roman"/>
          <w:sz w:val="28"/>
          <w:szCs w:val="28"/>
        </w:rPr>
        <w:sym w:font="Symbol" w:char="F0D7"/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Кінетика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описується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стандартним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рівнянням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COPASI. У</w:t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R3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: 11 </w:t>
      </w:r>
      <w:r w:rsidRPr="00DD241B">
        <w:rPr>
          <w:rFonts w:ascii="Times New Roman" w:hAnsi="Times New Roman" w:cs="Times New Roman"/>
          <w:sz w:val="28"/>
          <w:szCs w:val="28"/>
        </w:rPr>
        <w:t>рядку</w:t>
      </w:r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Rate Law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Henri—</w:t>
      </w:r>
      <w:proofErr w:type="spellStart"/>
      <w:r w:rsidRPr="00DD241B">
        <w:rPr>
          <w:rFonts w:ascii="Times New Roman" w:hAnsi="Times New Roman" w:cs="Times New Roman"/>
          <w:sz w:val="28"/>
          <w:szCs w:val="28"/>
          <w:lang w:val="en-US"/>
        </w:rPr>
        <w:t>Michaelis-Menten</w:t>
      </w:r>
      <w:proofErr w:type="spellEnd"/>
      <w:r w:rsidRPr="00DD241B">
        <w:rPr>
          <w:rFonts w:ascii="Times New Roman" w:hAnsi="Times New Roman" w:cs="Times New Roman"/>
          <w:sz w:val="28"/>
          <w:szCs w:val="28"/>
          <w:lang w:val="en-US"/>
        </w:rPr>
        <w:t xml:space="preserve"> (irreversible).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Km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= 0,1mM,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Vmax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= 2mM/(l*s) 2.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кінетичні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1) А, В, С є потоки, X—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, 2) А, В, С, X—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B">
        <w:rPr>
          <w:rFonts w:ascii="Times New Roman" w:hAnsi="Times New Roman" w:cs="Times New Roman"/>
          <w:sz w:val="28"/>
          <w:szCs w:val="28"/>
        </w:rPr>
        <w:t>метаболіти</w:t>
      </w:r>
      <w:proofErr w:type="spellEnd"/>
      <w:r w:rsidRPr="00DD241B">
        <w:rPr>
          <w:rFonts w:ascii="Times New Roman" w:hAnsi="Times New Roman" w:cs="Times New Roman"/>
          <w:sz w:val="28"/>
          <w:szCs w:val="28"/>
        </w:rPr>
        <w:t>.</w:t>
      </w:r>
    </w:p>
    <w:sectPr w:rsidR="00DD241B" w:rsidRPr="00D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7A"/>
    <w:rsid w:val="003B1FB9"/>
    <w:rsid w:val="00737F83"/>
    <w:rsid w:val="00D50B7A"/>
    <w:rsid w:val="00DC066D"/>
    <w:rsid w:val="00D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B1D"/>
  <w15:chartTrackingRefBased/>
  <w15:docId w15:val="{06F1D63B-1CF7-4E5E-AEE5-580B79A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2024-02-27T09:05:00Z</dcterms:created>
  <dcterms:modified xsi:type="dcterms:W3CDTF">2024-02-29T07:49:00Z</dcterms:modified>
</cp:coreProperties>
</file>