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587A7" w14:textId="77777777" w:rsidR="00B43EFA" w:rsidRPr="0098557C" w:rsidRDefault="0098557C" w:rsidP="0098557C">
      <w:pPr>
        <w:jc w:val="center"/>
        <w:rPr>
          <w:rFonts w:ascii="Times New Roman" w:hAnsi="Times New Roman" w:cs="Times New Roman"/>
          <w:b/>
        </w:rPr>
      </w:pPr>
      <w:r w:rsidRPr="0098557C">
        <w:rPr>
          <w:rFonts w:ascii="Times New Roman" w:hAnsi="Times New Roman" w:cs="Times New Roman"/>
          <w:b/>
        </w:rPr>
        <w:t>Справи, що виникають з договору оренди</w:t>
      </w:r>
    </w:p>
    <w:tbl>
      <w:tblPr>
        <w:tblStyle w:val="a3"/>
        <w:tblW w:w="0" w:type="auto"/>
        <w:tblLook w:val="04A0" w:firstRow="1" w:lastRow="0" w:firstColumn="1" w:lastColumn="0" w:noHBand="0" w:noVBand="1"/>
      </w:tblPr>
      <w:tblGrid>
        <w:gridCol w:w="2235"/>
        <w:gridCol w:w="7620"/>
      </w:tblGrid>
      <w:tr w:rsidR="0098557C" w14:paraId="5B2F79FD" w14:textId="77777777" w:rsidTr="0098557C">
        <w:tc>
          <w:tcPr>
            <w:tcW w:w="2235" w:type="dxa"/>
          </w:tcPr>
          <w:p w14:paraId="5811E1D7" w14:textId="77777777" w:rsidR="0098557C" w:rsidRPr="0098557C" w:rsidRDefault="0098557C" w:rsidP="0098557C">
            <w:pPr>
              <w:jc w:val="center"/>
              <w:rPr>
                <w:rFonts w:ascii="Times New Roman" w:hAnsi="Times New Roman" w:cs="Times New Roman"/>
                <w:b/>
                <w:i/>
              </w:rPr>
            </w:pPr>
            <w:r w:rsidRPr="0098557C">
              <w:rPr>
                <w:rFonts w:ascii="Times New Roman" w:hAnsi="Times New Roman" w:cs="Times New Roman"/>
                <w:b/>
                <w:i/>
              </w:rPr>
              <w:t>Правові норми, що підлягають застосуванню при вирішенні справ</w:t>
            </w:r>
          </w:p>
        </w:tc>
        <w:tc>
          <w:tcPr>
            <w:tcW w:w="7620" w:type="dxa"/>
          </w:tcPr>
          <w:p w14:paraId="4111DC95" w14:textId="77777777" w:rsidR="0098557C" w:rsidRPr="00F25620" w:rsidRDefault="0098557C" w:rsidP="00F25620">
            <w:pPr>
              <w:pStyle w:val="a4"/>
              <w:numPr>
                <w:ilvl w:val="0"/>
                <w:numId w:val="2"/>
              </w:numPr>
              <w:jc w:val="both"/>
              <w:rPr>
                <w:rFonts w:ascii="Times New Roman" w:hAnsi="Times New Roman" w:cs="Times New Roman"/>
              </w:rPr>
            </w:pPr>
            <w:r w:rsidRPr="00F25620">
              <w:rPr>
                <w:rFonts w:ascii="Times New Roman" w:hAnsi="Times New Roman" w:cs="Times New Roman"/>
              </w:rPr>
              <w:t>Конституція України;</w:t>
            </w:r>
          </w:p>
          <w:p w14:paraId="6548140C" w14:textId="77777777" w:rsidR="0098557C" w:rsidRPr="00F25620" w:rsidRDefault="0098557C" w:rsidP="00F25620">
            <w:pPr>
              <w:pStyle w:val="a4"/>
              <w:numPr>
                <w:ilvl w:val="0"/>
                <w:numId w:val="2"/>
              </w:numPr>
              <w:jc w:val="both"/>
              <w:rPr>
                <w:rFonts w:ascii="Times New Roman" w:hAnsi="Times New Roman" w:cs="Times New Roman"/>
              </w:rPr>
            </w:pPr>
            <w:r w:rsidRPr="00F25620">
              <w:rPr>
                <w:rFonts w:ascii="Times New Roman" w:hAnsi="Times New Roman" w:cs="Times New Roman"/>
              </w:rPr>
              <w:t>Цивільний кодекс України (Глава 58 ЦК України (статті 759-786 Кодексу);</w:t>
            </w:r>
          </w:p>
          <w:p w14:paraId="1935FAFC" w14:textId="77777777" w:rsidR="0098557C" w:rsidRPr="00F25620" w:rsidRDefault="0098557C" w:rsidP="00F25620">
            <w:pPr>
              <w:pStyle w:val="a4"/>
              <w:numPr>
                <w:ilvl w:val="0"/>
                <w:numId w:val="2"/>
              </w:numPr>
              <w:jc w:val="both"/>
              <w:rPr>
                <w:rFonts w:ascii="Times New Roman" w:hAnsi="Times New Roman" w:cs="Times New Roman"/>
              </w:rPr>
            </w:pPr>
            <w:r w:rsidRPr="00F25620">
              <w:rPr>
                <w:rFonts w:ascii="Times New Roman" w:hAnsi="Times New Roman" w:cs="Times New Roman"/>
              </w:rPr>
              <w:t>Закон України «Про оренду державного та комунального майна»;</w:t>
            </w:r>
          </w:p>
          <w:p w14:paraId="46EA5B3B" w14:textId="77777777" w:rsidR="0098557C" w:rsidRPr="00F25620" w:rsidRDefault="0098557C" w:rsidP="00F25620">
            <w:pPr>
              <w:pStyle w:val="a4"/>
              <w:numPr>
                <w:ilvl w:val="0"/>
                <w:numId w:val="2"/>
              </w:numPr>
              <w:jc w:val="both"/>
              <w:rPr>
                <w:rFonts w:ascii="Times New Roman" w:hAnsi="Times New Roman" w:cs="Times New Roman"/>
              </w:rPr>
            </w:pPr>
            <w:r w:rsidRPr="00F25620">
              <w:rPr>
                <w:rFonts w:ascii="Times New Roman" w:hAnsi="Times New Roman" w:cs="Times New Roman"/>
              </w:rPr>
              <w:t>Закон України «Про господарську діяльність у Збройних Силах України</w:t>
            </w:r>
            <w:r w:rsidR="00F25620" w:rsidRPr="00F25620">
              <w:rPr>
                <w:rFonts w:ascii="Times New Roman" w:hAnsi="Times New Roman" w:cs="Times New Roman"/>
              </w:rPr>
              <w:t>»;</w:t>
            </w:r>
          </w:p>
          <w:p w14:paraId="27BABD6D" w14:textId="77777777" w:rsidR="00F25620" w:rsidRPr="00F25620" w:rsidRDefault="00F25620" w:rsidP="00F25620">
            <w:pPr>
              <w:pStyle w:val="a4"/>
              <w:numPr>
                <w:ilvl w:val="0"/>
                <w:numId w:val="2"/>
              </w:numPr>
              <w:jc w:val="both"/>
              <w:rPr>
                <w:rFonts w:ascii="Times New Roman" w:hAnsi="Times New Roman" w:cs="Times New Roman"/>
              </w:rPr>
            </w:pPr>
            <w:r w:rsidRPr="00F25620">
              <w:rPr>
                <w:rFonts w:ascii="Times New Roman" w:hAnsi="Times New Roman" w:cs="Times New Roman"/>
              </w:rPr>
              <w:t>Методика розрахунку орендної плати за державне майно, затверджена постановою Кабінету Міністрів України від 28 квітня 2021 р. № 630;</w:t>
            </w:r>
          </w:p>
          <w:p w14:paraId="4201D404" w14:textId="77777777" w:rsidR="00F25620" w:rsidRPr="00F25620" w:rsidRDefault="00F25620" w:rsidP="00F25620">
            <w:pPr>
              <w:pStyle w:val="a4"/>
              <w:numPr>
                <w:ilvl w:val="0"/>
                <w:numId w:val="2"/>
              </w:numPr>
              <w:jc w:val="both"/>
              <w:rPr>
                <w:rFonts w:ascii="Times New Roman" w:hAnsi="Times New Roman" w:cs="Times New Roman"/>
              </w:rPr>
            </w:pPr>
            <w:r w:rsidRPr="00F25620">
              <w:rPr>
                <w:rFonts w:ascii="Times New Roman" w:hAnsi="Times New Roman" w:cs="Times New Roman"/>
              </w:rPr>
              <w:t>та інші нормативно-правові акти.</w:t>
            </w:r>
          </w:p>
        </w:tc>
      </w:tr>
      <w:tr w:rsidR="0098557C" w14:paraId="00D96F5E" w14:textId="77777777" w:rsidTr="0098557C">
        <w:tc>
          <w:tcPr>
            <w:tcW w:w="2235" w:type="dxa"/>
          </w:tcPr>
          <w:p w14:paraId="4767C543" w14:textId="77777777" w:rsidR="0098557C" w:rsidRPr="0098557C" w:rsidRDefault="0098557C" w:rsidP="0098557C">
            <w:pPr>
              <w:jc w:val="center"/>
              <w:rPr>
                <w:rFonts w:ascii="Times New Roman" w:hAnsi="Times New Roman" w:cs="Times New Roman"/>
                <w:b/>
                <w:i/>
              </w:rPr>
            </w:pPr>
            <w:r w:rsidRPr="0098557C">
              <w:rPr>
                <w:rFonts w:ascii="Times New Roman" w:hAnsi="Times New Roman" w:cs="Times New Roman"/>
                <w:b/>
                <w:i/>
              </w:rPr>
              <w:t>Судова практика</w:t>
            </w:r>
          </w:p>
        </w:tc>
        <w:tc>
          <w:tcPr>
            <w:tcW w:w="7620" w:type="dxa"/>
          </w:tcPr>
          <w:p w14:paraId="730779D2" w14:textId="77777777" w:rsidR="0098557C" w:rsidRPr="00F25620" w:rsidRDefault="00F25620" w:rsidP="00F25620">
            <w:pPr>
              <w:jc w:val="both"/>
              <w:rPr>
                <w:rFonts w:ascii="Times New Roman" w:hAnsi="Times New Roman" w:cs="Times New Roman"/>
              </w:rPr>
            </w:pPr>
            <w:r>
              <w:rPr>
                <w:rFonts w:ascii="Times New Roman" w:hAnsi="Times New Roman" w:cs="Times New Roman"/>
              </w:rPr>
              <w:t>Р</w:t>
            </w:r>
            <w:r w:rsidRPr="00F25620">
              <w:rPr>
                <w:rFonts w:ascii="Times New Roman" w:hAnsi="Times New Roman" w:cs="Times New Roman"/>
              </w:rPr>
              <w:t>оз'яснення Вищого господарського суду України «Про деякі питання практики застосування Закону України «Про оренду державного та комунального майна» від 25.05.2000 р. № 02-5/237.</w:t>
            </w:r>
          </w:p>
        </w:tc>
      </w:tr>
      <w:tr w:rsidR="0098557C" w14:paraId="3A7D990B" w14:textId="77777777" w:rsidTr="0098557C">
        <w:tc>
          <w:tcPr>
            <w:tcW w:w="2235" w:type="dxa"/>
          </w:tcPr>
          <w:p w14:paraId="30922937" w14:textId="77777777" w:rsidR="0098557C" w:rsidRPr="0098557C" w:rsidRDefault="0098557C" w:rsidP="0098557C">
            <w:pPr>
              <w:jc w:val="center"/>
              <w:rPr>
                <w:rFonts w:ascii="Times New Roman" w:hAnsi="Times New Roman" w:cs="Times New Roman"/>
                <w:b/>
                <w:i/>
              </w:rPr>
            </w:pPr>
            <w:r w:rsidRPr="0098557C">
              <w:rPr>
                <w:rFonts w:ascii="Times New Roman" w:hAnsi="Times New Roman" w:cs="Times New Roman"/>
                <w:b/>
                <w:i/>
              </w:rPr>
              <w:t>Підсудність</w:t>
            </w:r>
          </w:p>
        </w:tc>
        <w:tc>
          <w:tcPr>
            <w:tcW w:w="7620" w:type="dxa"/>
          </w:tcPr>
          <w:p w14:paraId="7243E212" w14:textId="77777777" w:rsidR="0098557C" w:rsidRPr="00F25620" w:rsidRDefault="00F25620" w:rsidP="00F25620">
            <w:pPr>
              <w:pStyle w:val="a4"/>
              <w:numPr>
                <w:ilvl w:val="0"/>
                <w:numId w:val="4"/>
              </w:numPr>
              <w:jc w:val="both"/>
              <w:rPr>
                <w:rFonts w:ascii="Times New Roman" w:hAnsi="Times New Roman" w:cs="Times New Roman"/>
                <w:u w:val="single"/>
              </w:rPr>
            </w:pPr>
            <w:r w:rsidRPr="00F25620">
              <w:rPr>
                <w:rFonts w:ascii="Times New Roman" w:hAnsi="Times New Roman" w:cs="Times New Roman"/>
                <w:u w:val="single"/>
              </w:rPr>
              <w:t>ч.1,2 ст.27 ЦПК України:</w:t>
            </w:r>
          </w:p>
          <w:p w14:paraId="3144AFA2" w14:textId="77777777" w:rsidR="00F25620" w:rsidRPr="00F25620" w:rsidRDefault="00F25620" w:rsidP="00F25620">
            <w:pPr>
              <w:ind w:left="360"/>
              <w:jc w:val="both"/>
              <w:rPr>
                <w:rFonts w:ascii="Times New Roman" w:hAnsi="Times New Roman" w:cs="Times New Roman"/>
              </w:rPr>
            </w:pPr>
            <w:r w:rsidRPr="00F25620">
              <w:rPr>
                <w:rFonts w:ascii="Times New Roman" w:hAnsi="Times New Roman" w:cs="Times New Roman"/>
              </w:rPr>
              <w:t>1. Позови до фізичної особи пред’являються в суд за зареєстрованим у встановленому законом порядку місцем її проживання або перебування, якщо інше не передбачено законом.</w:t>
            </w:r>
          </w:p>
          <w:p w14:paraId="3312A90D" w14:textId="77777777" w:rsidR="00F25620" w:rsidRDefault="00F25620" w:rsidP="00F25620">
            <w:pPr>
              <w:ind w:left="360"/>
              <w:jc w:val="both"/>
              <w:rPr>
                <w:rFonts w:ascii="Times New Roman" w:hAnsi="Times New Roman" w:cs="Times New Roman"/>
              </w:rPr>
            </w:pPr>
            <w:r w:rsidRPr="00F25620">
              <w:rPr>
                <w:rFonts w:ascii="Times New Roman" w:hAnsi="Times New Roman" w:cs="Times New Roman"/>
              </w:rPr>
              <w:t>2. Позови до юридичних осіб пред’являються в суд за їхнім місцезнаходженням згідно з Єдиним державним реєстром юридичних осіб, фізичних осіб - підприємців та громадських формувань.</w:t>
            </w:r>
          </w:p>
          <w:p w14:paraId="6DEC3156" w14:textId="77777777" w:rsidR="00F25620" w:rsidRPr="00F25620" w:rsidRDefault="00F25620" w:rsidP="00F25620">
            <w:pPr>
              <w:pStyle w:val="a4"/>
              <w:numPr>
                <w:ilvl w:val="0"/>
                <w:numId w:val="4"/>
              </w:numPr>
              <w:jc w:val="both"/>
              <w:rPr>
                <w:rFonts w:ascii="Times New Roman" w:hAnsi="Times New Roman" w:cs="Times New Roman"/>
                <w:u w:val="single"/>
              </w:rPr>
            </w:pPr>
            <w:r w:rsidRPr="00F25620">
              <w:rPr>
                <w:rFonts w:ascii="Times New Roman" w:hAnsi="Times New Roman" w:cs="Times New Roman"/>
                <w:u w:val="single"/>
              </w:rPr>
              <w:t>ч.8 ст.28 ЦПК України:</w:t>
            </w:r>
          </w:p>
          <w:p w14:paraId="192D9360" w14:textId="77777777" w:rsidR="00F25620" w:rsidRDefault="00F25620" w:rsidP="00F25620">
            <w:pPr>
              <w:ind w:left="360"/>
              <w:jc w:val="both"/>
              <w:rPr>
                <w:rFonts w:ascii="Times New Roman" w:hAnsi="Times New Roman" w:cs="Times New Roman"/>
              </w:rPr>
            </w:pPr>
            <w:r w:rsidRPr="00F25620">
              <w:rPr>
                <w:rFonts w:ascii="Times New Roman" w:hAnsi="Times New Roman" w:cs="Times New Roman"/>
              </w:rPr>
              <w:t>Позови, що виникають із договорів, у яких зазначено місце виконання або виконувати які через їх особливість можна тільки в певному місці, можуть пред’являтися також за місцем виконання цих договорів.</w:t>
            </w:r>
          </w:p>
          <w:p w14:paraId="047B8958" w14:textId="77777777" w:rsidR="00F25620" w:rsidRPr="00F25620" w:rsidRDefault="00F25620" w:rsidP="00F25620">
            <w:pPr>
              <w:pStyle w:val="a4"/>
              <w:numPr>
                <w:ilvl w:val="0"/>
                <w:numId w:val="4"/>
              </w:numPr>
              <w:jc w:val="both"/>
              <w:rPr>
                <w:rFonts w:ascii="Times New Roman" w:hAnsi="Times New Roman" w:cs="Times New Roman"/>
                <w:u w:val="single"/>
              </w:rPr>
            </w:pPr>
            <w:r w:rsidRPr="00F25620">
              <w:rPr>
                <w:rFonts w:ascii="Times New Roman" w:hAnsi="Times New Roman" w:cs="Times New Roman"/>
                <w:u w:val="single"/>
              </w:rPr>
              <w:t>ч.1 ст.30 ЦПК України:</w:t>
            </w:r>
          </w:p>
          <w:p w14:paraId="1250A2AE" w14:textId="77777777" w:rsidR="00F25620" w:rsidRPr="00F25620" w:rsidRDefault="00F422C4" w:rsidP="00F25620">
            <w:pPr>
              <w:ind w:left="360"/>
              <w:jc w:val="both"/>
              <w:rPr>
                <w:rFonts w:ascii="Times New Roman" w:hAnsi="Times New Roman" w:cs="Times New Roman"/>
              </w:rPr>
            </w:pPr>
            <w:r w:rsidRPr="00F422C4">
              <w:rPr>
                <w:rFonts w:ascii="Times New Roman" w:hAnsi="Times New Roman" w:cs="Times New Roman"/>
              </w:rPr>
              <w:t>Позови, що виникають із приводу нерухомого майна, пред’являються за місцезнаходженням майна або основної його частини. Якщо пов’язані між собою позовні вимоги пред’явлені одночасно щодо декількох об’єктів нерухомого майна, спір розглядається за місцезнаходженням об’</w:t>
            </w:r>
            <w:r>
              <w:rPr>
                <w:rFonts w:ascii="Times New Roman" w:hAnsi="Times New Roman" w:cs="Times New Roman"/>
              </w:rPr>
              <w:t>єкта, вартість якого є найвищою</w:t>
            </w:r>
            <w:r w:rsidR="00F25620" w:rsidRPr="00F25620">
              <w:rPr>
                <w:rFonts w:ascii="Times New Roman" w:hAnsi="Times New Roman" w:cs="Times New Roman"/>
              </w:rPr>
              <w:t>.</w:t>
            </w:r>
          </w:p>
        </w:tc>
      </w:tr>
      <w:tr w:rsidR="0098557C" w14:paraId="00D2EA6F" w14:textId="77777777" w:rsidTr="0098557C">
        <w:tc>
          <w:tcPr>
            <w:tcW w:w="2235" w:type="dxa"/>
          </w:tcPr>
          <w:p w14:paraId="7F651ECC" w14:textId="77777777" w:rsidR="0098557C" w:rsidRPr="0098557C" w:rsidRDefault="0098557C" w:rsidP="0098557C">
            <w:pPr>
              <w:jc w:val="center"/>
              <w:rPr>
                <w:rFonts w:ascii="Times New Roman" w:hAnsi="Times New Roman" w:cs="Times New Roman"/>
                <w:b/>
                <w:i/>
              </w:rPr>
            </w:pPr>
            <w:r w:rsidRPr="0098557C">
              <w:rPr>
                <w:rFonts w:ascii="Times New Roman" w:hAnsi="Times New Roman" w:cs="Times New Roman"/>
                <w:b/>
                <w:i/>
              </w:rPr>
              <w:t>Сторони</w:t>
            </w:r>
          </w:p>
        </w:tc>
        <w:tc>
          <w:tcPr>
            <w:tcW w:w="7620" w:type="dxa"/>
          </w:tcPr>
          <w:p w14:paraId="655B7636" w14:textId="77777777" w:rsidR="0098557C" w:rsidRDefault="00F25620" w:rsidP="00F25620">
            <w:pPr>
              <w:jc w:val="both"/>
              <w:rPr>
                <w:rFonts w:ascii="Times New Roman" w:hAnsi="Times New Roman" w:cs="Times New Roman"/>
              </w:rPr>
            </w:pPr>
            <w:r w:rsidRPr="00F25620">
              <w:rPr>
                <w:rFonts w:ascii="Times New Roman" w:hAnsi="Times New Roman" w:cs="Times New Roman"/>
              </w:rPr>
              <w:t xml:space="preserve">За договором найму (оренди) </w:t>
            </w:r>
            <w:r w:rsidRPr="00F25620">
              <w:rPr>
                <w:rFonts w:ascii="Times New Roman" w:hAnsi="Times New Roman" w:cs="Times New Roman"/>
                <w:b/>
                <w:i/>
                <w:u w:val="single"/>
              </w:rPr>
              <w:t>наймодавець</w:t>
            </w:r>
            <w:r w:rsidRPr="00F25620">
              <w:rPr>
                <w:rFonts w:ascii="Times New Roman" w:hAnsi="Times New Roman" w:cs="Times New Roman"/>
              </w:rPr>
              <w:t xml:space="preserve"> передає або зобов'язується передати </w:t>
            </w:r>
            <w:r w:rsidRPr="00F25620">
              <w:rPr>
                <w:rFonts w:ascii="Times New Roman" w:hAnsi="Times New Roman" w:cs="Times New Roman"/>
                <w:b/>
                <w:i/>
                <w:u w:val="single"/>
              </w:rPr>
              <w:t>наймачеві</w:t>
            </w:r>
            <w:r w:rsidRPr="00F25620">
              <w:rPr>
                <w:rFonts w:ascii="Times New Roman" w:hAnsi="Times New Roman" w:cs="Times New Roman"/>
              </w:rPr>
              <w:t xml:space="preserve"> майно у володіння та користування за плату на певний строк</w:t>
            </w:r>
            <w:r>
              <w:rPr>
                <w:rFonts w:ascii="Times New Roman" w:hAnsi="Times New Roman" w:cs="Times New Roman"/>
              </w:rPr>
              <w:t xml:space="preserve"> (ч.1 ст.759 ЦК України).</w:t>
            </w:r>
          </w:p>
        </w:tc>
      </w:tr>
      <w:tr w:rsidR="0098557C" w14:paraId="74EC30C6" w14:textId="77777777" w:rsidTr="0098557C">
        <w:tc>
          <w:tcPr>
            <w:tcW w:w="2235" w:type="dxa"/>
          </w:tcPr>
          <w:p w14:paraId="36785E9F" w14:textId="77777777" w:rsidR="0098557C" w:rsidRPr="0098557C" w:rsidRDefault="0098557C" w:rsidP="0098557C">
            <w:pPr>
              <w:jc w:val="center"/>
              <w:rPr>
                <w:rFonts w:ascii="Times New Roman" w:hAnsi="Times New Roman" w:cs="Times New Roman"/>
                <w:b/>
                <w:i/>
              </w:rPr>
            </w:pPr>
            <w:r w:rsidRPr="0098557C">
              <w:rPr>
                <w:rFonts w:ascii="Times New Roman" w:hAnsi="Times New Roman" w:cs="Times New Roman"/>
                <w:b/>
                <w:i/>
              </w:rPr>
              <w:t>Предмет доказування</w:t>
            </w:r>
          </w:p>
        </w:tc>
        <w:tc>
          <w:tcPr>
            <w:tcW w:w="7620" w:type="dxa"/>
          </w:tcPr>
          <w:p w14:paraId="42D2B961" w14:textId="77777777" w:rsidR="0098557C" w:rsidRPr="0028405A" w:rsidRDefault="00F25620" w:rsidP="0028405A">
            <w:pPr>
              <w:pStyle w:val="a4"/>
              <w:numPr>
                <w:ilvl w:val="0"/>
                <w:numId w:val="6"/>
              </w:numPr>
              <w:jc w:val="both"/>
              <w:rPr>
                <w:rFonts w:ascii="Times New Roman" w:hAnsi="Times New Roman" w:cs="Times New Roman"/>
              </w:rPr>
            </w:pPr>
            <w:r w:rsidRPr="0028405A">
              <w:rPr>
                <w:rFonts w:ascii="Times New Roman" w:hAnsi="Times New Roman" w:cs="Times New Roman"/>
              </w:rPr>
              <w:t>факт укладення договору оренди;</w:t>
            </w:r>
          </w:p>
          <w:p w14:paraId="291E8559" w14:textId="77777777" w:rsidR="00F25620" w:rsidRPr="0028405A" w:rsidRDefault="00F25620" w:rsidP="0028405A">
            <w:pPr>
              <w:pStyle w:val="a4"/>
              <w:numPr>
                <w:ilvl w:val="0"/>
                <w:numId w:val="6"/>
              </w:numPr>
              <w:jc w:val="both"/>
              <w:rPr>
                <w:rFonts w:ascii="Times New Roman" w:hAnsi="Times New Roman" w:cs="Times New Roman"/>
              </w:rPr>
            </w:pPr>
            <w:r w:rsidRPr="0028405A">
              <w:rPr>
                <w:rFonts w:ascii="Times New Roman" w:hAnsi="Times New Roman" w:cs="Times New Roman"/>
              </w:rPr>
              <w:t>строк договору оренди;</w:t>
            </w:r>
          </w:p>
          <w:p w14:paraId="12EE6946" w14:textId="77777777" w:rsidR="00F25620" w:rsidRPr="0028405A" w:rsidRDefault="00F25620" w:rsidP="0028405A">
            <w:pPr>
              <w:pStyle w:val="a4"/>
              <w:numPr>
                <w:ilvl w:val="0"/>
                <w:numId w:val="6"/>
              </w:numPr>
              <w:jc w:val="both"/>
              <w:rPr>
                <w:rFonts w:ascii="Times New Roman" w:hAnsi="Times New Roman" w:cs="Times New Roman"/>
              </w:rPr>
            </w:pPr>
            <w:r w:rsidRPr="0028405A">
              <w:rPr>
                <w:rFonts w:ascii="Times New Roman" w:hAnsi="Times New Roman" w:cs="Times New Roman"/>
              </w:rPr>
              <w:t>наявність обставин, за яких договір оренди може бути розірваний на вимогу наймодавця;</w:t>
            </w:r>
          </w:p>
          <w:p w14:paraId="5F494FE9" w14:textId="77777777" w:rsidR="00F25620" w:rsidRPr="0028405A" w:rsidRDefault="00F25620" w:rsidP="0028405A">
            <w:pPr>
              <w:pStyle w:val="a4"/>
              <w:numPr>
                <w:ilvl w:val="0"/>
                <w:numId w:val="6"/>
              </w:numPr>
              <w:jc w:val="both"/>
              <w:rPr>
                <w:rFonts w:ascii="Times New Roman" w:hAnsi="Times New Roman" w:cs="Times New Roman"/>
              </w:rPr>
            </w:pPr>
            <w:r w:rsidRPr="0028405A">
              <w:rPr>
                <w:rFonts w:ascii="Times New Roman" w:hAnsi="Times New Roman" w:cs="Times New Roman"/>
              </w:rPr>
              <w:t>вина сторін;</w:t>
            </w:r>
          </w:p>
          <w:p w14:paraId="1A8B814D" w14:textId="77777777" w:rsidR="00F25620" w:rsidRPr="0028405A" w:rsidRDefault="0028405A" w:rsidP="0028405A">
            <w:pPr>
              <w:pStyle w:val="a4"/>
              <w:numPr>
                <w:ilvl w:val="0"/>
                <w:numId w:val="6"/>
              </w:numPr>
              <w:jc w:val="both"/>
              <w:rPr>
                <w:rFonts w:ascii="Times New Roman" w:hAnsi="Times New Roman" w:cs="Times New Roman"/>
              </w:rPr>
            </w:pPr>
            <w:r w:rsidRPr="0028405A">
              <w:rPr>
                <w:rFonts w:ascii="Times New Roman" w:hAnsi="Times New Roman" w:cs="Times New Roman"/>
              </w:rPr>
              <w:t>повідомлення стороною про порушення умов договору оренди.</w:t>
            </w:r>
          </w:p>
        </w:tc>
      </w:tr>
      <w:tr w:rsidR="0098557C" w14:paraId="52372100" w14:textId="77777777" w:rsidTr="0098557C">
        <w:tc>
          <w:tcPr>
            <w:tcW w:w="2235" w:type="dxa"/>
          </w:tcPr>
          <w:p w14:paraId="241818E9" w14:textId="77777777" w:rsidR="0098557C" w:rsidRPr="0098557C" w:rsidRDefault="0098557C" w:rsidP="0098557C">
            <w:pPr>
              <w:jc w:val="center"/>
              <w:rPr>
                <w:rFonts w:ascii="Times New Roman" w:hAnsi="Times New Roman" w:cs="Times New Roman"/>
                <w:b/>
                <w:i/>
              </w:rPr>
            </w:pPr>
            <w:r w:rsidRPr="0098557C">
              <w:rPr>
                <w:rFonts w:ascii="Times New Roman" w:hAnsi="Times New Roman" w:cs="Times New Roman"/>
                <w:b/>
                <w:i/>
              </w:rPr>
              <w:t>Перелік доказів</w:t>
            </w:r>
          </w:p>
        </w:tc>
        <w:tc>
          <w:tcPr>
            <w:tcW w:w="7620" w:type="dxa"/>
          </w:tcPr>
          <w:p w14:paraId="4B807B96" w14:textId="77777777" w:rsidR="0098557C" w:rsidRDefault="0028405A" w:rsidP="0028405A">
            <w:pPr>
              <w:pStyle w:val="a4"/>
              <w:numPr>
                <w:ilvl w:val="0"/>
                <w:numId w:val="4"/>
              </w:numPr>
              <w:jc w:val="both"/>
              <w:rPr>
                <w:rFonts w:ascii="Times New Roman" w:hAnsi="Times New Roman" w:cs="Times New Roman"/>
              </w:rPr>
            </w:pPr>
            <w:r>
              <w:rPr>
                <w:rFonts w:ascii="Times New Roman" w:hAnsi="Times New Roman" w:cs="Times New Roman"/>
              </w:rPr>
              <w:t>договір оренди;</w:t>
            </w:r>
          </w:p>
          <w:p w14:paraId="1B11F446" w14:textId="77777777" w:rsidR="0028405A" w:rsidRDefault="0028405A" w:rsidP="0028405A">
            <w:pPr>
              <w:pStyle w:val="a4"/>
              <w:numPr>
                <w:ilvl w:val="0"/>
                <w:numId w:val="4"/>
              </w:numPr>
              <w:jc w:val="both"/>
              <w:rPr>
                <w:rFonts w:ascii="Times New Roman" w:hAnsi="Times New Roman" w:cs="Times New Roman"/>
              </w:rPr>
            </w:pPr>
            <w:r>
              <w:rPr>
                <w:rFonts w:ascii="Times New Roman" w:hAnsi="Times New Roman" w:cs="Times New Roman"/>
              </w:rPr>
              <w:t>документ про передачу майна в користування;</w:t>
            </w:r>
          </w:p>
          <w:p w14:paraId="1AD4DF8C" w14:textId="77777777" w:rsidR="0028405A" w:rsidRDefault="0028405A" w:rsidP="0028405A">
            <w:pPr>
              <w:pStyle w:val="a4"/>
              <w:numPr>
                <w:ilvl w:val="0"/>
                <w:numId w:val="4"/>
              </w:numPr>
              <w:jc w:val="both"/>
              <w:rPr>
                <w:rFonts w:ascii="Times New Roman" w:hAnsi="Times New Roman" w:cs="Times New Roman"/>
              </w:rPr>
            </w:pPr>
            <w:r>
              <w:rPr>
                <w:rFonts w:ascii="Times New Roman" w:hAnsi="Times New Roman" w:cs="Times New Roman"/>
              </w:rPr>
              <w:t>документи, що підтверджують розмір завданої шкоди, непридатність предмету у користуванні або користування таким предметом наймачем з порушенням умов договору оренди  (акти, висновки);</w:t>
            </w:r>
          </w:p>
          <w:p w14:paraId="7390C796" w14:textId="77777777" w:rsidR="001E6A4D" w:rsidRDefault="0028405A" w:rsidP="0028405A">
            <w:pPr>
              <w:pStyle w:val="a4"/>
              <w:numPr>
                <w:ilvl w:val="0"/>
                <w:numId w:val="4"/>
              </w:numPr>
              <w:jc w:val="both"/>
              <w:rPr>
                <w:rFonts w:ascii="Times New Roman" w:hAnsi="Times New Roman" w:cs="Times New Roman"/>
              </w:rPr>
            </w:pPr>
            <w:r>
              <w:rPr>
                <w:rFonts w:ascii="Times New Roman" w:hAnsi="Times New Roman" w:cs="Times New Roman"/>
              </w:rPr>
              <w:t>докази направлення та повідомлення сторонами у визначених законодавством випадках</w:t>
            </w:r>
            <w:r w:rsidR="001E6A4D">
              <w:rPr>
                <w:rFonts w:ascii="Times New Roman" w:hAnsi="Times New Roman" w:cs="Times New Roman"/>
              </w:rPr>
              <w:t>;</w:t>
            </w:r>
          </w:p>
          <w:p w14:paraId="1445BB82" w14:textId="77777777" w:rsidR="0028405A" w:rsidRPr="0028405A" w:rsidRDefault="001E6A4D" w:rsidP="0028405A">
            <w:pPr>
              <w:pStyle w:val="a4"/>
              <w:numPr>
                <w:ilvl w:val="0"/>
                <w:numId w:val="4"/>
              </w:numPr>
              <w:jc w:val="both"/>
              <w:rPr>
                <w:rFonts w:ascii="Times New Roman" w:hAnsi="Times New Roman" w:cs="Times New Roman"/>
              </w:rPr>
            </w:pPr>
            <w:r>
              <w:rPr>
                <w:rFonts w:ascii="Times New Roman" w:hAnsi="Times New Roman" w:cs="Times New Roman"/>
              </w:rPr>
              <w:t>та інші</w:t>
            </w:r>
            <w:r w:rsidR="0028405A">
              <w:rPr>
                <w:rFonts w:ascii="Times New Roman" w:hAnsi="Times New Roman" w:cs="Times New Roman"/>
              </w:rPr>
              <w:t>.</w:t>
            </w:r>
          </w:p>
        </w:tc>
      </w:tr>
    </w:tbl>
    <w:p w14:paraId="27F9CE60" w14:textId="77777777" w:rsidR="0028405A" w:rsidRDefault="0028405A" w:rsidP="0098557C">
      <w:pPr>
        <w:jc w:val="center"/>
        <w:rPr>
          <w:rFonts w:ascii="Times New Roman" w:hAnsi="Times New Roman" w:cs="Times New Roman"/>
        </w:rPr>
      </w:pPr>
    </w:p>
    <w:p w14:paraId="01BECFA5" w14:textId="034AF26D" w:rsidR="0098557C" w:rsidRPr="0098557C" w:rsidRDefault="0028405A" w:rsidP="00075673">
      <w:pPr>
        <w:rPr>
          <w:rFonts w:ascii="Times New Roman" w:hAnsi="Times New Roman" w:cs="Times New Roman"/>
        </w:rPr>
      </w:pPr>
      <w:r>
        <w:rPr>
          <w:rFonts w:ascii="Times New Roman" w:hAnsi="Times New Roman" w:cs="Times New Roman"/>
        </w:rPr>
        <w:br w:type="page"/>
      </w:r>
    </w:p>
    <w:sectPr w:rsidR="0098557C" w:rsidRPr="0098557C" w:rsidSect="001746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E0A73"/>
    <w:multiLevelType w:val="hybridMultilevel"/>
    <w:tmpl w:val="D6864F3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E383D5A"/>
    <w:multiLevelType w:val="hybridMultilevel"/>
    <w:tmpl w:val="9AC052AC"/>
    <w:lvl w:ilvl="0" w:tplc="352A0EF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0C63E32"/>
    <w:multiLevelType w:val="hybridMultilevel"/>
    <w:tmpl w:val="9996AAFA"/>
    <w:lvl w:ilvl="0" w:tplc="885E23FA">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27012C6"/>
    <w:multiLevelType w:val="hybridMultilevel"/>
    <w:tmpl w:val="EFA6382C"/>
    <w:lvl w:ilvl="0" w:tplc="E612D79A">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66A0F01"/>
    <w:multiLevelType w:val="hybridMultilevel"/>
    <w:tmpl w:val="DEB432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E764B6E"/>
    <w:multiLevelType w:val="hybridMultilevel"/>
    <w:tmpl w:val="D6864F3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11139DA"/>
    <w:multiLevelType w:val="hybridMultilevel"/>
    <w:tmpl w:val="DEB432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1442909"/>
    <w:multiLevelType w:val="hybridMultilevel"/>
    <w:tmpl w:val="BE88FBEC"/>
    <w:lvl w:ilvl="0" w:tplc="E612D79A">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9DA2BF7"/>
    <w:multiLevelType w:val="hybridMultilevel"/>
    <w:tmpl w:val="DEB432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D36027C"/>
    <w:multiLevelType w:val="hybridMultilevel"/>
    <w:tmpl w:val="D6864F3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37C3D61"/>
    <w:multiLevelType w:val="hybridMultilevel"/>
    <w:tmpl w:val="F36AB6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71601843">
    <w:abstractNumId w:val="2"/>
  </w:num>
  <w:num w:numId="2" w16cid:durableId="14037085">
    <w:abstractNumId w:val="8"/>
  </w:num>
  <w:num w:numId="3" w16cid:durableId="1810324328">
    <w:abstractNumId w:val="1"/>
  </w:num>
  <w:num w:numId="4" w16cid:durableId="110520846">
    <w:abstractNumId w:val="7"/>
  </w:num>
  <w:num w:numId="5" w16cid:durableId="2037389340">
    <w:abstractNumId w:val="10"/>
  </w:num>
  <w:num w:numId="6" w16cid:durableId="1822430829">
    <w:abstractNumId w:val="9"/>
  </w:num>
  <w:num w:numId="7" w16cid:durableId="1497309097">
    <w:abstractNumId w:val="6"/>
  </w:num>
  <w:num w:numId="8" w16cid:durableId="1997031423">
    <w:abstractNumId w:val="0"/>
  </w:num>
  <w:num w:numId="9" w16cid:durableId="868369511">
    <w:abstractNumId w:val="3"/>
  </w:num>
  <w:num w:numId="10" w16cid:durableId="463155598">
    <w:abstractNumId w:val="4"/>
  </w:num>
  <w:num w:numId="11" w16cid:durableId="248855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8557C"/>
    <w:rsid w:val="00075673"/>
    <w:rsid w:val="0017461F"/>
    <w:rsid w:val="001E6A4D"/>
    <w:rsid w:val="0028405A"/>
    <w:rsid w:val="004A3ED9"/>
    <w:rsid w:val="00644414"/>
    <w:rsid w:val="0098557C"/>
    <w:rsid w:val="00B43EFA"/>
    <w:rsid w:val="00B929FC"/>
    <w:rsid w:val="00BB70C3"/>
    <w:rsid w:val="00F25620"/>
    <w:rsid w:val="00F42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8319"/>
  <w15:docId w15:val="{7427BB52-DD5E-4866-8BA3-DC7D77B6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E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55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985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892131">
      <w:bodyDiv w:val="1"/>
      <w:marLeft w:val="0"/>
      <w:marRight w:val="0"/>
      <w:marTop w:val="0"/>
      <w:marBottom w:val="0"/>
      <w:divBdr>
        <w:top w:val="none" w:sz="0" w:space="0" w:color="auto"/>
        <w:left w:val="none" w:sz="0" w:space="0" w:color="auto"/>
        <w:bottom w:val="none" w:sz="0" w:space="0" w:color="auto"/>
        <w:right w:val="none" w:sz="0" w:space="0" w:color="auto"/>
      </w:divBdr>
    </w:div>
    <w:div w:id="1395815186">
      <w:bodyDiv w:val="1"/>
      <w:marLeft w:val="0"/>
      <w:marRight w:val="0"/>
      <w:marTop w:val="0"/>
      <w:marBottom w:val="0"/>
      <w:divBdr>
        <w:top w:val="none" w:sz="0" w:space="0" w:color="auto"/>
        <w:left w:val="none" w:sz="0" w:space="0" w:color="auto"/>
        <w:bottom w:val="none" w:sz="0" w:space="0" w:color="auto"/>
        <w:right w:val="none" w:sz="0" w:space="0" w:color="auto"/>
      </w:divBdr>
    </w:div>
    <w:div w:id="170501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356</Words>
  <Characters>2035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SEVKR</dc:creator>
  <cp:keywords/>
  <dc:description/>
  <cp:lastModifiedBy>Кирилл Алимов</cp:lastModifiedBy>
  <cp:revision>6</cp:revision>
  <dcterms:created xsi:type="dcterms:W3CDTF">2022-02-17T08:04:00Z</dcterms:created>
  <dcterms:modified xsi:type="dcterms:W3CDTF">2024-03-02T08:10:00Z</dcterms:modified>
</cp:coreProperties>
</file>