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ДЕРЖАВНИЙ ВИЩИЙ НАВЧАЛЬНИЙ ЗАКЛАД</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“ЗАПОРІЗЬКИЙ НАЦІОНАЛЬНИЙ УНІВЕРСИТЕТ”</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МІНІСТЕРСТВА ОСВІТИ І НАУКИ УКРАЇНИ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 Луганська</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АНАЛІТИЧНА ХІМІЯ</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КІЛЬКІСНИЙ АНАЛІЗ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Методичні вказівки до лабораторних робіт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студентів ІІ курсу біологічного факультету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спеціальності “Хімія”</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Затверджено</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вченою радою ЗНУ</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Протокол №  10</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29.05.2023</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Запоріжжя</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УДК: 546 (076.5)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ББК: Г1я 73</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 Луганська Аналітична хімія. Кількісний аналіз: Методичні вказівки до лабораторних робіт для студентів ІІ курсу біологічного факультету спеціальності “Хімія” – Запоріжжя: ЗНУ, 2023. – 69с.</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Методичні вказівки містять лабораторні роботи та контрольні запитання і завдання для домашньої підготовки до занять.</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Призначені для студентів біологічного факультету спеціальності “Хімія” денної форми навчання.</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Н.І. Пономаренко</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Л.О. Омельянчик</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Зміст</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Вступ………………………………………………………….…5</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Гравіметричний (ваговий) аналіз……………………………..7</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кристалізаційної води в барій хлориді………...7</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Розрахунок об’єму розчину розчинника…………………….8</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Розрахунок маси осаджувача…………………………………8</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сульфат-іонів у розчинних сульфатах……….10</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Барію в барій хлориді………………………….12</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Феруму в солях……………………………......13</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Ніколу……………………………………….….15</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Магнію……………………………………….…16</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Титриметричний (об’ємний) аналіз……………………......18</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Деякі загальні вказівки до титриметричних визначень…..19</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концентрації в титриметричному аналізі…...20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Розрахунки в титриметричному аналізі……………….......22</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приготування титрантів…………………………...24</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 кислотно-основного титрування………………….25</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Індикатори методу нейтралізації. Вибір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рН-індикаторів. ……………………………………………...26</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Характеристика кривих титрування за методом</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кислотно-основного титрування……………………………..27</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приблизно 0,1н розчину натрій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гідроксиду…………………………………………………..…27</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Стандартизація розчину гідроксиду за оксалатною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кислотою……………………………………………………...28</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розчину хлоридної кислоти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заданої концентрації та стандартизація його за бурою</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(натрій тетраборату декагідратом) ……………………….…29</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концентрації розчину кислоти за розчином</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лугу відомої концентрації…………………………………...32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суміші натрій гідроксиду та натрій карбонату……32</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солей амонію………………………………………….34</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хлоридної та борної кислоти у суміші……….35</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ацетатної кислоти………………...……...........36</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карбонатної жорсткості води…………………36</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 окисно-відновного титрування………………….…38</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Перманганатометрія…………………………………….……39</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приблизно 0,1н розчину калій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перманганату……………………………………………...…39</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Стандартизація розчину калій перманганату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оксалатною кислотою…………………………..……......40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Феруму в солях………………………………..41</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Мангану в рудах……………………………….41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кількості гідроген пероксиду в розчині……..42</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Йодометрія…………………………………………………....43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Стандартизація розчину натрій тіосульфату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розчином калій біхромату………………………………..44</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Йодометричне визначення кислот…………………............45</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Титриметричне йодометричне визначення Купруму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сплавах………………………………………………….......46</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кількості Купруму в розчині………………....46</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Дихроматометрія………………………………………….....47</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Феруму в руді…………………........................47</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 осаджувального титрування…………………........48</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Аргентометрія……………………………………………......48</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хлоридів за методом Мора……………….…..49</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Комплексонометрія (хелатометрія) …………………........50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Встановлення концентрації трилону Б за магній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сульфатом………………………………………………….....51</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Титриметричне визначення загальної твердості води.......51</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Комплекснометричне визначення Феруму………………..52</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 w:val="left" w:leader="none" w:pos="612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Комплексонометричне визначення Кальцію</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940"/>
          <w:tab w:val="left" w:leader="none" w:pos="6120"/>
        </w:tabs>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Магнію в суміші………………………….…………….....52</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Фізико-хімічні методи аналізу………………………..…….54</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Спектральні (оптичні) методи аналізу……………….…....54</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Кількісне визначення методом фотоколометрії………….54</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Атомно-абсорбційний метод аналізу……...……....….......57</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Електрохімічні методи аналізу………………………....….60</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вмісту кислот або основ методом</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потенціо-метричного титрування…………………………61</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Хроматографічний аналіз………………………………..….62</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Кількісне визначення вмісту Купруму (ІІ) в розчині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методом іонообмінної хроматографії……………………….62</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Застосування методів математичної статистики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аналітичній хімії……………………………………………..64</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Список рекомендованої літератури………………………..68</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Вступ</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Кількісним аналізом називається розділ аналітичної хімії, присвячений методам точного визначення вагових відношень складових частин аналізованої речовини. Кількісному аналізу передує якісний аналіз. Наприклад, якщо методами кількісного аналізу встановлено, що досліджуваний сплав складається з міді та цинку, то методами кількісного аналізу можна точно визначити, скільки саме міститься у цьому сплаві цих металів.</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Кількісний аналіз тісно пов'язаний з загальною хімією, хімічною технологією, металургією, виробництвом будівельних матеріалів і рядом інших наук. Розвиток кількісного аналізу в значній мірі було викликано потребами практики – необхідністю досліджувати різні руди, мінерали, а також хімічні сполуки, що отримують у лабораторії. Для розробки методів кількісного аналізу широко використовуються досягнення загальної, органічної та фізичної хімії, як у відношенні до теорії, так і у відношенні до методики експерименту.</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основі будь-якого кількісного дослідження лежать точні вимірювання. Вимірюють вагу й об’єм, а також показники електричних, оптичних, магнітних та інших властивостей речовин.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Основним вимірюванням хімічного методу аналізу є визначення ваги, що виконують за допомогою терезів. Вимірювання ваги часто з’єднується з визначенням об’єму, що здійснюється за допомогою сосудів та приладів.</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відповідності з цим розрізняють 2 методи хімічного аналізу:</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ваговий аналіз;</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об’ємний аналіз.</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Особливим видом аналізу є аналіз газів і газових сумішей, тобто газовий аналіз, що виконується також шляхом вимірювання об’єму або ваги.</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Окрім хімічних методів, існують фізичні та фізико-хімічні методи аналізу, що відрізняються великою чутливістю і швидкістю виконання аналітичних визначень.</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 аналізу, що дозволяють визначати склад аналізованої речовини без використання хімічних реакцій (за питомою вагою речовини, за коефіцієнтом заломлення світла тощо) називаються фізичними методами.</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 аналізу, засновані на вимірюванні фізичних властивостей аналізованої системи (світлопоглинання, електропровідності і т.ін.), що відбувається у результаті певних хімічних реакцій, називається фізико-хімічними методами.</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залежності від кількості взятої для аналізу речовини розрізняють макро-, мікро-, і напівмікрометоди аналізу. Макрометод передбачає роботу з наважками до 1г й об’ємом розчина до 50мл, мікрометод – з кількістю речовин у 100 разів меншими, тобто з наважками до 0,01г й об’ємом розчину до 0,5 мл. Напівмікрометод займає середнє положення. В даних вказівках всі лабораторні роботи виконуються за макрометодом.</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Гравіметричний (ваговий) аналіз</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Гравіметричним аналізом називають метод кількісного хімічного аналізу, в основі якого лежить точне вимірювання маси, що визначає компонент проби, виділений в елементарному вигляді, або у вигляді сполук визначеного складу.</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Кількісне визначення того чи іншого компонента речовини, що аналізується, полягає в ряді послідовних операцій: взяття середньої проби, підготовка речовини до аналізу; взяття наважки, її розчинення або сплавлення, тощо.</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підготовленому для аналізу розчині кількісне визначення його компонентів може бути здійснене різними методами (гравіметричним, титриметричним та іншими), кожному з яких властива своя техніка виконання операцій. У гравіметричному аналізі в підготовленому розчині проводять осадження компоненту, який визначається, у вигляді будь-якої малорозчинної сполуки, промивання осаду, висушування або прожарювання його, зважування й розрахунок результатів аналізу.</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проведенні аналізу від відбору середньої проби до розрахунків результатів немає другорядних неважливих деталей. Кожна операція вимагає охайного та ретельного виконання, тільки в такому випадку можна отримати надійні результати.</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кристалізаційної води в барій хлориді</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Воду можна визначити прямим або непрямим (посереднім) методами. Прямі методи полягають у поглинанні парів води, що виділяються при нагріванні аналізованої проби з поглиначем. Поглинач зважують до і після поглинання та за збільшенням маси визначають вміст води в пробі.</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Більш простими є непрямі методи. Тут вміст води визначається за втратою маси в пробі, що нагрівається до певної температури або висушується в ексикаторі.</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Цими методами звичайно визначають гігроскопічну воду. У деяких випадках висушування до постійної маси використовується для визначення кристалізаційної води в солях.</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кристалізаційної води в барій хлориді непрямим методом засноване на тому, що барій хлорид легко втрачає кристалізаційну воду при температурі трохи вище 100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зневоднена сіль, яка при цьому утворюється, нелетка й не розкладається навіть при більш високих температурах.</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Попередньо готують для зважування бюкс, який являє собою скляну або металічну склянку зі щільно закритою кришкою. Для цього бюкс поміщають у сушильну шафу при температурі 105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та висушують її до постійної маси. Зважування охолодженого в ексикаторі бюкса проводять на аналітичних вагах з точністю до 4-го знаку. Якщо різниця між двома послідовними зважуваннями не перевищує 0,2-0,4 мг, масу вважають постійною. Потім у бюкс відважують наважку вагою 1 г барій хлориду, попередньо подрібненого в ступі до грубого порошку. Зважування проводять з точністю до 4-го знаку. </w:t>
        <w:tab/>
        <w:t xml:space="preserve">Бюкс з наважкою солі поміщають у сушильну шафу та висушують протягом однієї години при температурі 105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При цьому вода повинна випаруватися. Потім бюкс закривають кришкою, поміщають у ексикатор і після охолодження зважують. Операції висушування, охолодження та зважування повторюють до отримання постійної маси. Час наступного висушування складає 30-40 хвилин.</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Відсотковий вміст кристалізаційної води визначають за втратою у вазі бюкси з наважкою після висушування.</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даному аналізі запис результатів досліджень може мати наступний вигляд:</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пустого бюкса –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маса бюкса із сіллю до висушування –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наважка солі – g =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маса бюкса із сіллю після висушування –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маса кристалізаційної води в наважці – m =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Визначають вміст води в кристалогідраті (у %) за формулою:</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08100" cy="431800"/>
            <wp:effectExtent b="0" l="0" r="0" t="0"/>
            <wp:docPr id="69" name="image54.png"/>
            <a:graphic>
              <a:graphicData uri="http://schemas.openxmlformats.org/drawingml/2006/picture">
                <pic:pic>
                  <pic:nvPicPr>
                    <pic:cNvPr id="0" name="image54.png"/>
                    <pic:cNvPicPr preferRelativeResize="0"/>
                  </pic:nvPicPr>
                  <pic:blipFill>
                    <a:blip r:embed="rId6"/>
                    <a:srcRect b="0" l="0" r="0" t="0"/>
                    <a:stretch>
                      <a:fillRect/>
                    </a:stretch>
                  </pic:blipFill>
                  <pic:spPr>
                    <a:xfrm>
                      <a:off x="0" y="0"/>
                      <a:ext cx="1308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Розрахунки</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Розрахунок наважки аналізованої речовини: рекомендується для аналізу брати такі наважки речовини, щоб вага прожареного кристалічного осаду (G) була 0,5г.</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Величину наважки розраховують за формулою:</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50900" cy="393700"/>
            <wp:effectExtent b="0" l="0" r="0" t="0"/>
            <wp:docPr id="74" name="image63.png"/>
            <a:graphic>
              <a:graphicData uri="http://schemas.openxmlformats.org/drawingml/2006/picture">
                <pic:pic>
                  <pic:nvPicPr>
                    <pic:cNvPr id="0" name="image63.png"/>
                    <pic:cNvPicPr preferRelativeResize="0"/>
                  </pic:nvPicPr>
                  <pic:blipFill>
                    <a:blip r:embed="rId7"/>
                    <a:srcRect b="0" l="0" r="0" t="0"/>
                    <a:stretch>
                      <a:fillRect/>
                    </a:stretch>
                  </pic:blipFill>
                  <pic:spPr>
                    <a:xfrm>
                      <a:off x="0" y="0"/>
                      <a:ext cx="85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Ma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молярна маса речовини, що аналізують;</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молярна маса вагової форми;</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q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наважка речовини, що аналізують;</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маса вагової форми;</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а, 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коефіцієнти в рівнянні реакцій.</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Розрахунок об’єму розчинника.</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гравіметричних визначень, які виконуються методом осадження, далі розраховують об’єм розчинника.</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речовини, що аналізують, розчиняють у такому об’ємі розчинника, щоб отримати розчин із масовою долею речовини – 0,5-1 %.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46200" cy="431800"/>
            <wp:effectExtent b="0" l="0" r="0" t="0"/>
            <wp:docPr id="72" name="image62.png"/>
            <a:graphic>
              <a:graphicData uri="http://schemas.openxmlformats.org/drawingml/2006/picture">
                <pic:pic>
                  <pic:nvPicPr>
                    <pic:cNvPr id="0" name="image62.png"/>
                    <pic:cNvPicPr preferRelativeResize="0"/>
                  </pic:nvPicPr>
                  <pic:blipFill>
                    <a:blip r:embed="rId8"/>
                    <a:srcRect b="0" l="0" r="0" t="0"/>
                    <a:stretch>
                      <a:fillRect/>
                    </a:stretch>
                  </pic:blipFill>
                  <pic:spPr>
                    <a:xfrm>
                      <a:off x="0" y="0"/>
                      <a:ext cx="13462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m(р-ну)=m(р-ка)+q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drawing>
          <wp:inline distB="0" distT="0" distL="114300" distR="114300">
            <wp:extent cx="1473200" cy="431800"/>
            <wp:effectExtent b="0" l="0" r="0" t="0"/>
            <wp:docPr id="63" name="image74.png"/>
            <a:graphic>
              <a:graphicData uri="http://schemas.openxmlformats.org/drawingml/2006/picture">
                <pic:pic>
                  <pic:nvPicPr>
                    <pic:cNvPr id="0" name="image74.png"/>
                    <pic:cNvPicPr preferRelativeResize="0"/>
                  </pic:nvPicPr>
                  <pic:blipFill>
                    <a:blip r:embed="rId9"/>
                    <a:srcRect b="0" l="0" r="0" t="0"/>
                    <a:stretch>
                      <a:fillRect/>
                    </a:stretch>
                  </pic:blipFill>
                  <pic:spPr>
                    <a:xfrm>
                      <a:off x="0" y="0"/>
                      <a:ext cx="14732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Отримуємо формули:</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m(р-ну)=</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drawing>
          <wp:inline distB="0" distT="0" distL="114300" distR="114300">
            <wp:extent cx="457200" cy="393700"/>
            <wp:effectExtent b="0" l="0" r="0" t="0"/>
            <wp:docPr id="61" name="image66.png"/>
            <a:graphic>
              <a:graphicData uri="http://schemas.openxmlformats.org/drawingml/2006/picture">
                <pic:pic>
                  <pic:nvPicPr>
                    <pic:cNvPr id="0" name="image66.png"/>
                    <pic:cNvPicPr preferRelativeResize="0"/>
                  </pic:nvPicPr>
                  <pic:blipFill>
                    <a:blip r:embed="rId10"/>
                    <a:srcRect b="0" l="0" r="0" t="0"/>
                    <a:stretch>
                      <a:fillRect/>
                    </a:stretch>
                  </pic:blipFill>
                  <pic:spPr>
                    <a:xfrm>
                      <a:off x="0" y="0"/>
                      <a:ext cx="457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m(р-ка)=m(р-ну)-q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47800" cy="431800"/>
            <wp:effectExtent b="0" l="0" r="0" t="0"/>
            <wp:docPr id="67" name="image56.png"/>
            <a:graphic>
              <a:graphicData uri="http://schemas.openxmlformats.org/drawingml/2006/picture">
                <pic:pic>
                  <pic:nvPicPr>
                    <pic:cNvPr id="0" name="image56.png"/>
                    <pic:cNvPicPr preferRelativeResize="0"/>
                  </pic:nvPicPr>
                  <pic:blipFill>
                    <a:blip r:embed="rId11"/>
                    <a:srcRect b="0" l="0" r="0" t="0"/>
                    <a:stretch>
                      <a:fillRect/>
                    </a:stretch>
                  </pic:blipFill>
                  <pic:spPr>
                    <a:xfrm>
                      <a:off x="0" y="0"/>
                      <a:ext cx="1447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ω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масова доля розчиненої речовини;</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m(р-ка)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розчинника;</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V(р-ка)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розчинника;</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ρ(р-ка)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густина розчинника.</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Розрахунок маси осаджувача</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Розрахунок маси осаджувача ведуть виходячи зі стехіометричного співвідношення реагентів:</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4300" cy="215900"/>
            <wp:effectExtent b="0" l="0" r="0" t="0"/>
            <wp:docPr id="6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аА + вВ = сС + dD;</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4300" cy="2159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повноти осадження використовують надлишок осаджувача, в 1,5 рази більше, ніж за рівнянням реакції.</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73200" cy="431800"/>
            <wp:effectExtent b="0" l="0" r="0" t="0"/>
            <wp:docPr id="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473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наважка речовини, що аналізують.</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Формула для розрахунку результатів гравіметричного аналізу:</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0" cy="4318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16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вміст частини, яку визначають у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вагової форми після прожарювання;</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молярна маса частини, яку визначають у грамах;</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молярна маса вагової форми;</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наважка речовини, яку аналізують у грамах.</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сульфат-іонів у розчинних сульфатах</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основу методу визначення сульфат-іонів покладена реакція утворення малорозчинного барій сульфату.</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Осадження сульфат-іонів виконують барій хлоридом з гарячого розчину, який містить невеликі кількості хлоридної кислоти. Необхідність додавання хлоридної кислоти зумовлена наступними чинниками:</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Кислота перешкоджає співосадженню з осадом барій сульфату барій гідроксиду та деяких солей, не розчинних у воді, але легко розчинних у кислотах, наприклад, барій карбонату.</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присутності хлоридної кислоти осад барій сульфату отримують більш крупнокристалічним, завдяки чому він легко фільтрується.</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Утворенню крупнокристалічного осаду сприяє також проведення осадження при температурі кипіння. Це пояснюється тим, що при осадженні з гарячого розчину в присутності кислоти розчинність осаду підвищується, внаслідок чого утворюється менше число центрів кристалізації та кристали отримують більш крупними.</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Осадження треба проводити з розбавлених розчинів, повільно додаючи осаджувач. Це дозволяє отримувати ущільнені осади барій сульфату з малою поверхнею і, внаслідок цього, мало забруднені домішками.</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 ніж приступити до проведення аналізу, розраховують величину наважки досліджуваної речовини й кількість барій хлориду, необхідного для осадження.</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розраховують таким чином, щоб маса прожареного осаду барій сульфату, який отримують в результаті аналізу, не перевищувала 0,5г.</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Обчисліть наважку для визначення сульфат-іонів у чистому натрій сульфаті, який містить 10% домішків, й необхідну кількість осаджувача, якщо в якості осаджувача використовувати 10% розчин барій хлориду.</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Теоретично розраховану кількість осаджувача потрібно збільшити в 1,5 рази.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Необхідні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 розчин хлоридної кислоти;</w:t>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розчин барій хлориду;</w:t>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 розчин аргентум нітрату.</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0,2-0,3г розчинного сульфату відважують на годинниковому склі з точністю до 4-го знаку.</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струменя води з промивалки наважку змивають зі скла та доводять об‘єм розчину приблизно до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 розчину хлоридної кислоти, перемішують скляною паличкою та розбавляють до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водою.</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іншій склянці розбавляють відміряну кількість 10% розчину барій хлориду до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Нагрівають обидва розчини до кипіння та повільно додають розчин осаджувача до розчина сульфату, доливають по скляній паличці, яку залишають у склянці, щоб не втратити частину осаду.</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Дають осаду зібратися на дні склянки та перевіряють повноту осадження, додаючи невелику кількість ( приблизно 1см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барій хлориду. Якщо повнота осадження не досягнута, додають ще трішки гарячого розчину барій хлориду та після повторної перевірки на повноту осадження, ставлять склянку на 1 годину в тепле місце.</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Фільтрацію осаду проводять крізь щільний беззольний фільтр (синя стрічка), відливаючи спочатку прозорий розчин. Коли весь розчин відфільтровано, осад у склянці декілька разів промивають невеликою кількістю води, кожного разу даючи йому відстоятись. Потім осад переносять на фільтр за допомогою струменя води з промивалки. Частину осаду, що залишився на стінках і дні склянки, переносять на фільтр за допомогою скляної палички з гумовим наконечником і шматочком беззольного фільтру. Склянка після промивання повинна бути зовсім чистою.</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на фільтрі промивають 5-10 разів невеликими порціями гарячої води, даючи їй кожний раз стікати до кінця. Останні промивні води перевіряють на повноту промивання. Для цього в пробірку, що містить невелику кількість промивних вод, додають декілька краплин аргентум нітрату. Відсутність помутніння свідчить про повноту промивання.</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Згорнувши до центру кінці фільтру з осадом, його поміщають у фарфоровий тигель, попередньо прожарений до постійної маси, охолоджений в ексикаторі та зважений. Тигель з осадом підсушують у сушильний шафі при температурі 100-105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протягом 30 хвилин, потім ставлять у муфельну піч і обвуглюють його при відкритих дверцятах печі. Фільтр при цьому повинен поступово обвуглюватись, не запалюючись. Коли обвуглювання закінчене, тигель пересувають у частину печі, нагріту до червоного розпікання, та прожарюють осад при температурі 800-900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протягом 1 години.</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охолодження в ексикаторі тигель з осадом зважують і повторюють прожарювання протягом 20-30 хвилин.</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Прожарювання та зважування проводять до досягнення постійної маси (різниця між двома зважуваннями повинна бути не більше 0,2-0,4мг), після чого знаходять кількість сульфат-іонів в отриманому осаді в грамах. Розраховують відсотковий вміст сульфат іонів у пробі.</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Барію в барій хлориді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основу метода визначення іона Барію покладена реакція утворення малорозчинного барій сульфату:</w:t>
      </w:r>
    </w:p>
    <w:p w:rsidR="00000000" w:rsidDel="00000000" w:rsidP="00000000" w:rsidRDefault="00000000" w:rsidRPr="00000000" w14:paraId="000000F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↓+2HCl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Осадження іонів Барію проводять сульфатною кислотою з гарячого розчину, який містить невелику кількість хлоридної кислоти.</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відфільтровують, висушують та прожарюють до постійної маси. За масою осаду розраховують кількість Барію в солі, що аналізують.</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Необхідні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 розчин хлоридної кислоти;</w:t>
      </w:r>
    </w:p>
    <w:p w:rsidR="00000000" w:rsidDel="00000000" w:rsidP="00000000" w:rsidRDefault="00000000" w:rsidRPr="00000000" w14:paraId="000000F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 розчин сульфатної кислоти;</w:t>
      </w:r>
    </w:p>
    <w:p w:rsidR="00000000" w:rsidDel="00000000" w:rsidP="00000000" w:rsidRDefault="00000000" w:rsidRPr="00000000" w14:paraId="000000F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 розчин аргентум нітрату.</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барій хлориду 0,3-0,4г, зважену на аналітичних вагах, кількісно переносять у чисту склянку, залишки солі змивають зі скла струменем дистильованої води з промивалки також у склянку. Загальний об‘єм розчину доводять приблизно до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3-5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2н хлоридної кислоти  та нагрівають майже до кипіння.</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іншій склянці 3-5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 розчину сульфатної кислоти розводять до 30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водою та також нагрівають до кипіння. Розчин сульфатної кислоти дуже повільно, по краплях, вливають в розчин солі Барію. Приливати сульфатну кислоту потрібно по скляній паличці, помішуючи нею розчин, але не торкаючись стінок і дна склянки.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Осаду дають відстоятися на дні склянки, перевіряючи на повноту осадження. Для цього в прозору рідину обережно, по стінці, приливають декілька краплин розбавленої сульфатної кислоти та спостерігають, чи з‘явиться осад. Якщо повнота осадження не досягнута, додають ще декілька краплин розбавленої сульфатної кислоти, даючи відстоятися та знову перевіряють на повноту осадження.</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з осадом залишають на 30 хвилин, а потім фільтрують, як описано в інструкції по визначенню сульфат-іонів.</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Феруму у солях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Феруму у солях засноване на його окисленні до тривалентного й осадженні у вигляді гідроксиду, що при прокаленні переходить в оксид:</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OH →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↓+ 3NH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drawing>
          <wp:inline distB="0" distT="0" distL="114300" distR="114300">
            <wp:extent cx="469900" cy="241300"/>
            <wp:effectExtent b="0" l="0" r="0" t="0"/>
            <wp:docPr id="34"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469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Окислення проводять за допомогою нітратної кислоти.</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Осаджуючи розчином амоніаку іони тривалентного Феруму, отримують ферум (ІІІ) гідроксид.</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Оскільки ферум (ІІІ) гідроксид становить гідрофільний осад, його осадження необхідно проводити з концентрованих розчинів. Інакше осади отримуються дуже об‘ємними й адсорбують на своїй поверхні сторонні іони.</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 метою одержання легко фільтруючих, вільних від забруднення осадів, проводять осадження при температурі кипіння та дають осаду деякий час постояти в теплому місці.</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Необхідні реактиви:</w:t>
      </w:r>
    </w:p>
    <w:p w:rsidR="00000000" w:rsidDel="00000000" w:rsidP="00000000" w:rsidRDefault="00000000" w:rsidRPr="00000000" w14:paraId="000001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Хлоридна кислота, розбавлена 1:1;</w:t>
      </w:r>
    </w:p>
    <w:p w:rsidR="00000000" w:rsidDel="00000000" w:rsidP="00000000" w:rsidRDefault="00000000" w:rsidRPr="00000000" w14:paraId="000001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Нітратна кислота, концентрована;</w:t>
      </w:r>
    </w:p>
    <w:p w:rsidR="00000000" w:rsidDel="00000000" w:rsidP="00000000" w:rsidRDefault="00000000" w:rsidRPr="00000000" w14:paraId="000001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Амоніак, розбавлений 1:1;</w:t>
      </w:r>
    </w:p>
    <w:p w:rsidR="00000000" w:rsidDel="00000000" w:rsidP="00000000" w:rsidRDefault="00000000" w:rsidRPr="00000000" w14:paraId="0000010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0,5%-ний розчин аргентум нітрату.</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1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необхідну для аналізу наважку солі Мора або іншої солі Феруму (ІІ), що містить від 40 до 60% домішків, враховуючи оптимальну масу прокаленого осаду 0,05-0,07г. Виважену на аналітичних вагах наважку аналізуючої солі переводять у склянку та розчиняють у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в присутності 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хлоридної кислоти 1:1. Нагрівають розчин до кипіння й окислюють Ферум (ІІ), приливаючи по краплинам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концентрованої нітратної кислоти. Спочатку розчин темніє внаслідок утворення FeSO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а потім приймає жовтий колір. Окислення закінчується після 3-5 хвилин кипіння. До розчину, що містить іони Феруму (ІІ), додають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знову нагрівають і осаджують, перемішуючи амоніаком (1:1), який доливають до появи слабкого запаху.</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Потім швидко приливають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гарячої води, даючи осаду зібратися на дні склянки, й одразу фільтрують крізь беззольний фільтр (червона стрічка). Коли весь розчин відфільтровано, осад декантують, тобто промивають у склянці невеликими порціями (30-40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гарячої води. Потім осад переносять на фільтр, залишок часток на стінках склянки за допомогою палички і шматочку беззольного фільтру ретельно переносять туди ж.</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на фільтрі промивають гарячою водою до тих пір, доки промивні води, підкислені нітратною кислотою, не перестануть давати реакцію з аргентум нітратом.</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Фільтр з осадом залишають на місці, щоб з нього стекла вода, а потім трішки підсушують його. Згорнувши кінці фільтру, його поміщають у виважений фарфоровий тигель, обережно обпалюють і прокалюють при 800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до постійної ваги.</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Проводять розрахунок вмісту Феруму (ІІ) у солі.</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Ніколу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осадження Ніколу використовують органічний реактив – диметилгліоксим, запропонований у 1905 році відомим російським хіміком Ю.А. Чугаєвим.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Іони Ніколу при дії диметилгліоксиму в середовищі амонію кількісно осаджують у вигляді гольчатого кристалевого осаду червоного кольору – комплексної солі ніколдиметилгліоксимату (напишіть рівняння реакції).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 розчині присутні іони Феруму (наприклад, при визначенні Ніколу в сталі), необхідно застосовувати комплексоутворювачі, які утримували би Ферум в розчині. До таких відносяться тартратна та цитратна кислоти, їх солі та інші.</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Одержаний осад ніколдиметилгліоксимату відфільтровують і промивають. Визначення може бути закінчене двома шляхами:</w:t>
      </w:r>
    </w:p>
    <w:p w:rsidR="00000000" w:rsidDel="00000000" w:rsidP="00000000" w:rsidRDefault="00000000" w:rsidRPr="00000000" w14:paraId="000001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висушуванням осаду до постійної маси при 120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та виваженням у вигляді ніколдиметилгліоксимату;</w:t>
      </w:r>
    </w:p>
    <w:p w:rsidR="00000000" w:rsidDel="00000000" w:rsidP="00000000" w:rsidRDefault="00000000" w:rsidRPr="00000000" w14:paraId="000001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прокалюванням осаду та виваженням у вигляді нікол оксиду.</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Необхідні реактиви:</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1%-ний розчин диметилгліоксиму в амоніаку;</w:t>
      </w:r>
    </w:p>
    <w:p w:rsidR="00000000" w:rsidDel="00000000" w:rsidP="00000000" w:rsidRDefault="00000000" w:rsidRPr="00000000" w14:paraId="0000011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хлоридна кислота 1:1;</w:t>
      </w:r>
    </w:p>
    <w:p w:rsidR="00000000" w:rsidDel="00000000" w:rsidP="00000000" w:rsidRDefault="00000000" w:rsidRPr="00000000" w14:paraId="0000011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-ний розчин амоніаку.</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розчин, що містить іони Ніколу, додають 2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хлоридної кислоти, розбавляють теплою водою до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доливають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диметилгліоксиму. Потім додають амоніак до слабкого запаху після переміщування, обережно нагрівають до 70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і дають відстоятись 30 хвилин. Фільтрують крізь беззольний фільтр середньої щільності (біла стрічка).</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декантують 5 разів розбавленим розчином амоніаку (1%-ний розчин), переносять на фільтр і 5 разів промивають теплою водою.</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Проводять пробу на повноту промивання від хлорид-іонів.</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Трохи підсушений фільтр поміщають у виважений фарфоровий тигель і прожарюють у муфельній печі при 600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до постійної маси. Перше промивання проводять 30 хвилин, повторне – 15 хвилин.</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NiO зважують і розраховують у ньому вміст Ніколу.</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Магнію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Магній осаджують з кислого розчину натрій фосфатом або амоній фосфатом, з наступним додаванням надлишку амоніаку.</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Осадженню Магнію амоніаком у вигляді гідроксиду перешкоджає присутність у розчині значної кількості іонів амонію, які зсувають рівновагу:</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вліво, зменшуючи концентрацію гідроксид-іонів.</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 метою отримання крупнокристалічних осадів осадження проводять повільно, в присутності хлоридної кислоти.</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Так як осад, що утворився,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володіє великою розчинністю, осадження проводять на холоді з невеликих об‘ємів розчину.</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 цієї причини промивання осаду проводять не чистою водою, а розбавленим 1%-ним розчином амоніаку. При цьому одночасно усувають гідроліз солі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веде до утворення ще більш розчинної солі MgHPO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спалюванні осаду необхідно виконувати певні умови, пов‘язані зі здатністю осаду сплавлятися й обволікати незгорілі частки вугілля.</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Внаслідок недотримання умов спалювання осадів, вони отримуються чорними та дають зовсім високі результати.</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Необхідні реактиви:</w:t>
      </w:r>
    </w:p>
    <w:p w:rsidR="00000000" w:rsidDel="00000000" w:rsidP="00000000" w:rsidRDefault="00000000" w:rsidRPr="00000000" w14:paraId="0000013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концентрована хлоридна кислота;</w:t>
      </w:r>
    </w:p>
    <w:p w:rsidR="00000000" w:rsidDel="00000000" w:rsidP="00000000" w:rsidRDefault="00000000" w:rsidRPr="00000000" w14:paraId="0000013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25%-ний розчин амоній гідроген фосфату;</w:t>
      </w:r>
    </w:p>
    <w:p w:rsidR="00000000" w:rsidDel="00000000" w:rsidP="00000000" w:rsidRDefault="00000000" w:rsidRPr="00000000" w14:paraId="0000013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амоніак, концентрований і розбавлений 1:20;</w:t>
      </w:r>
    </w:p>
    <w:p w:rsidR="00000000" w:rsidDel="00000000" w:rsidP="00000000" w:rsidRDefault="00000000" w:rsidRPr="00000000" w14:paraId="0000013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0,5%-ний розчин аргентум нітрату.</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розчину, що містить сіль Магнію, додають 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концентрованої хлоридної кислоти, розбавляють до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водою, додають декілька краплин індикатору метилоранжа (рожеве забарвлення) та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25%-ного розчину амоній гідрогенфосфату.</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Потім повільно, безперервно помішуючи, доливають концентрований розчин амоніаку до переходу забарвлення розчину в жовте.</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Перемішують протягом 5-10 хвилин, не торкаючись скляною паличкою дна та стінок склянки. Потім створюють надлишок концентрованого розчину амоніаку (доливають приблизно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перемішують ще 2 хвилини та залишають відстоюватися на 12 годин. Через 12 годин проводять пробу на повноту осадження, фільтрують крізь щільний фільтр (синя стрічка), декантують, а потім промивають осад на фільтрі розбавленим (1:20) розчином амоніаку.</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Проба на повноту промивання проводиться після 4 промивань (за допомогою аргентум нітрату).</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отримання білих осадів магній пірофосфату необхідно дуже обережно проводити спалювання та прожарювання осаду.</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Краще всього тиглі з осадами помістити в холодний муфель, а потім поступово нагрівати його до певної температури (1000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кількість Магнію в одержаному для аналізу розчині в грамах.</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гравіметричного методу аналізу?</w:t>
      </w:r>
    </w:p>
    <w:p w:rsidR="00000000" w:rsidDel="00000000" w:rsidP="00000000" w:rsidRDefault="00000000" w:rsidRPr="00000000" w14:paraId="0000014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класифікація методів гравіметричного аналізу?</w:t>
      </w:r>
    </w:p>
    <w:p w:rsidR="00000000" w:rsidDel="00000000" w:rsidP="00000000" w:rsidRDefault="00000000" w:rsidRPr="00000000" w14:paraId="0000014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операції вагового визначення методом осадження.</w:t>
      </w:r>
    </w:p>
    <w:p w:rsidR="00000000" w:rsidDel="00000000" w:rsidP="00000000" w:rsidRDefault="00000000" w:rsidRPr="00000000" w14:paraId="0000014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вимогам повинні задовольняти осади в гравіметричному методі аналізу? Яких умов необхідно додержуватися  під час осадження кристалічних і амфотерних осадів?</w:t>
      </w:r>
    </w:p>
    <w:p w:rsidR="00000000" w:rsidDel="00000000" w:rsidP="00000000" w:rsidRDefault="00000000" w:rsidRPr="00000000" w14:paraId="000001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осаджувана та вагова форми? Які вимоги становлять до цих форм?</w:t>
      </w:r>
    </w:p>
    <w:p w:rsidR="00000000" w:rsidDel="00000000" w:rsidP="00000000" w:rsidRDefault="00000000" w:rsidRPr="00000000" w14:paraId="000001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проводять “дозрівання” осадів?</w:t>
      </w:r>
    </w:p>
    <w:p w:rsidR="00000000" w:rsidDel="00000000" w:rsidP="00000000" w:rsidRDefault="00000000" w:rsidRPr="00000000" w14:paraId="0000014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означає: прокалити тигель до постійної маси?</w:t>
      </w:r>
    </w:p>
    <w:p w:rsidR="00000000" w:rsidDel="00000000" w:rsidP="00000000" w:rsidRDefault="00000000" w:rsidRPr="00000000" w14:paraId="000001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визначити вміст кристалізаційної води в кристалогідратах? Який температурний режим витримують під час висушування кристалогідратів?</w:t>
      </w:r>
    </w:p>
    <w:p w:rsidR="00000000" w:rsidDel="00000000" w:rsidP="00000000" w:rsidRDefault="00000000" w:rsidRPr="00000000" w14:paraId="0000014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величину наважки рекомендують брати для аналізу? Як розрахувати величину наважки?</w:t>
      </w:r>
    </w:p>
    <w:p w:rsidR="00000000" w:rsidDel="00000000" w:rsidP="00000000" w:rsidRDefault="00000000" w:rsidRPr="00000000" w14:paraId="0000014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вимоги становлять до розчинника? Як розрахувати об‘єм розчинника?</w:t>
      </w:r>
    </w:p>
    <w:p w:rsidR="00000000" w:rsidDel="00000000" w:rsidP="00000000" w:rsidRDefault="00000000" w:rsidRPr="00000000" w14:paraId="0000014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вимоги становлять до осаджувача? Як розрахувати масу одержувача?</w:t>
      </w:r>
    </w:p>
    <w:p w:rsidR="00000000" w:rsidDel="00000000" w:rsidP="00000000" w:rsidRDefault="00000000" w:rsidRPr="00000000" w14:paraId="0000015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осади придатні для гравіметричного визначення: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значенням добутку розчинності?</w:t>
      </w:r>
    </w:p>
    <w:p w:rsidR="00000000" w:rsidDel="00000000" w:rsidP="00000000" w:rsidRDefault="00000000" w:rsidRPr="00000000" w14:paraId="0000015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вагові форми мають осади: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AgCl,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кальцій осаджують у ваговому аналізі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не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Чим краще осаджувати іон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NaCl або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p>
    <w:p w:rsidR="00000000" w:rsidDel="00000000" w:rsidP="00000000" w:rsidRDefault="00000000" w:rsidRPr="00000000" w14:paraId="0000015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 перерахованих солей Кальцію: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більш підходить для визначення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ваговим методом?</w:t>
      </w:r>
    </w:p>
    <w:p w:rsidR="00000000" w:rsidDel="00000000" w:rsidP="00000000" w:rsidRDefault="00000000" w:rsidRPr="00000000" w14:paraId="000001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визначенні Феруму (ІІІ) в розчинах аналізований розчин перед додаванням осаджувача підкислюють. Для чого це роблять?</w:t>
      </w:r>
    </w:p>
    <w:p w:rsidR="00000000" w:rsidDel="00000000" w:rsidP="00000000" w:rsidRDefault="00000000" w:rsidRPr="00000000" w14:paraId="000001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визначення й характеристику поняттям: колоїд, пересичення, коагуляція, пептизація, співосадження, оклюзія.</w:t>
      </w:r>
    </w:p>
    <w:p w:rsidR="00000000" w:rsidDel="00000000" w:rsidP="00000000" w:rsidRDefault="00000000" w:rsidRPr="00000000" w14:paraId="000001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Причини забруднення осадів в гравіметрії.</w:t>
      </w:r>
    </w:p>
    <w:p w:rsidR="00000000" w:rsidDel="00000000" w:rsidP="00000000" w:rsidRDefault="00000000" w:rsidRPr="00000000" w14:paraId="0000015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промивання осадів.</w:t>
      </w:r>
    </w:p>
    <w:p w:rsidR="00000000" w:rsidDel="00000000" w:rsidP="00000000" w:rsidRDefault="00000000" w:rsidRPr="00000000" w14:paraId="000001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хімічних реакцій поясніть вплив концентрації:</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8300" cy="228600"/>
            <wp:effectExtent b="0" l="0" r="0" t="0"/>
            <wp:docPr id="32"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368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розчинність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87400" cy="215900"/>
            <wp:effectExtent b="0" l="0" r="0" t="0"/>
            <wp:docPr id="5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787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93700" cy="241300"/>
            <wp:effectExtent b="0" l="0" r="0" t="0"/>
            <wp:docPr id="48" name="image42.png"/>
            <a:graphic>
              <a:graphicData uri="http://schemas.openxmlformats.org/drawingml/2006/picture">
                <pic:pic>
                  <pic:nvPicPr>
                    <pic:cNvPr id="0" name="image42.png"/>
                    <pic:cNvPicPr preferRelativeResize="0"/>
                  </pic:nvPicPr>
                  <pic:blipFill>
                    <a:blip r:embed="rId18"/>
                    <a:srcRect b="0" l="0" r="0" t="0"/>
                    <a:stretch>
                      <a:fillRect/>
                    </a:stretch>
                  </pic:blipFill>
                  <pic:spPr>
                    <a:xfrm>
                      <a:off x="0" y="0"/>
                      <a:ext cx="3937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розчинність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228600"/>
            <wp:effectExtent b="0" l="0" r="0" t="0"/>
            <wp:docPr id="47"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469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46"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розчинність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15900"/>
            <wp:effectExtent b="0" l="0" r="0" t="0"/>
            <wp:docPr id="45"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342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Титриметричний (об‘ємний) аналіз</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Титриметричний аналіз заснований на вимірі об‘єму розчину реактиву точно відомої концентрації, що витрачено на реакцію з даною кількістю речовини, що визначають.</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 складається з того, що до розчину речовини, що визначають, поступово доливають з бюретки розчин реактиву відомої концентрації. Розчин, концентрація якого точно відома, називають стандартним або титрованим розчином. Процес поступового додавання реактиву називається титруванням. Реактив додають до тих пір, доки його кількість не стане еквівалентною кількості речовини. Цей момент, що визначають, називають точкою еквівалентності. Знаючи об‘єм, концентрацію розчину реактиву та рівняння хімічної реакції розраховують вміст кожного компоненту.</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Найголовнішим етапом титриметричного аналізу є встановлення (фіксація) точки еквівалентності. Поблизу точки еквівалентності відбувається різка, стрибкоподібна зміна концентрації розчину, що титрують. На цьому й заснована фіксація точки еквівалентності.</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хімічних методах аналізу використовують візуальні методи фіксації точки еквівалентності, які можуть бути індикаторними або безіндикаторними.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індикаторних методах у розчин, що титрують, вводять спеціальні речовини – індикатори, в яких під час титрування легко спостерігати зміну будь-якої властивості, наприклад, зміну кольору. Бажано, щоб індикатор змінив свій колір при концентрації реагуючих речовин можливо більш близьких до точки еквівалентності. Момент титрування, коли індикатор змінює свій колір, називають точкою кінця титрування. Очевидно, необхідно вибирати індикатор таким чином, щоб точка кінця титрування співпадала з точкою еквівалентності або була близькою до неї.</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тих випадках, коли одна з реагуючих речовин відрізняється від інших легко відмінними ознаками, за нею можна зафіксувати момент закінчення титрування і без індикатору. Наприклад, у перманганатометрії на необхідність завершення титрування вказує блідо-рожевий колір, що з’являється при додаванні до безкольорового відтитрованого розчину однієї надлишкової краплі розчину калій перманганату.</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Деякі загальні вказівки до титриметричних визначень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Перед роботою необхідно перевірити мірний посуд. Така перевірка виконується шляхом зважування води, що поміщується в той чи інший посуд. Щільність води (маса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точно визначена для різних температур, тому в результати зважування необхідно вносити поправки, користуючись відповідними таблицями, наведеними в підручниках з кількісного аналізу.</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Необхідно перевірити вміст піпетки, мірних колб, визначити об’єм краплі бюретки. Для цього: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перевірці вмісту піпетки зважують у бюксі на аналітичних терезах воду, що витікає з піпетки. Зважування необхідно повторювати до тих пір, доки три результати зважування води будуть відрізнятися між собою не більше ніж на 0,01г;</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перевірці вмісту мірної колби на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зважують на аналітичних терезах спочатку порожню колбу, а потім – заповнену водою. Результати трьох зважувань води повинні відрізнятися не більше ніж на 0,1г;</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визначенні об’єму краплі бюретки її наповнюють до нуля дистильованою водою, випускають 100 краплин (краплі повинні капати рівномірно, по 2-3 краплі в секунду) та помічають на бюретці об’єм (відлік проводять не раніше ніж через 30 секунд після виливання води). Отриманий об’єм ділять на 100. Визначення повторюють не менше трьох разів, кожного разу розраховуючи об’єм по 0,01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Розбіжність між трьома визначеннями не повинна перевищувати 0,01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Перед наповненням бюретки або піпетки, що попередньо ретельно вимиті, необхідно споліскувати 2-3 рази тим розчином, яким вони будуть наповнюватись.</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.Титрувати кожний розчин необхідно не менше трьох разів. Результати трьох титрувань не повинні відрізнятися один від одного більш ніж на 0,1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концентрації в титриметричному аналізі</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Молярна концентрація См [моль/л].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Молярна концентрація виражається числом молей речовини в 1л розчину:</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165100" cy="393700"/>
            <wp:effectExtent b="0" l="0" r="0" t="0"/>
            <wp:docPr id="44" name="image55.png"/>
            <a:graphic>
              <a:graphicData uri="http://schemas.openxmlformats.org/drawingml/2006/picture">
                <pic:pic>
                  <pic:nvPicPr>
                    <pic:cNvPr id="0" name="image55.png"/>
                    <pic:cNvPicPr preferRelativeResize="0"/>
                  </pic:nvPicPr>
                  <pic:blipFill>
                    <a:blip r:embed="rId22"/>
                    <a:srcRect b="0" l="0" r="0" t="0"/>
                    <a:stretch>
                      <a:fillRect/>
                    </a:stretch>
                  </pic:blipFill>
                  <pic:spPr>
                    <a:xfrm>
                      <a:off x="0" y="0"/>
                      <a:ext cx="165100" cy="3937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w:t>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розчиненої речовини, моль;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 об’єм розчину, л.</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Використовують, наприклад, таку форму позначення молярної концентрації:</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Cм (HCl) = 0,1моль/л,   або 0,1М HCl.</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Молярна концентрація еквівалента (нормальна концентрація) Сн [моль/л].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Нормальна концентрація визначається числом еквівалентів речовини в 1л розчину (у формулах іноді позначається N):</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Cн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393700"/>
            <wp:effectExtent b="0" l="0" r="0" t="0"/>
            <wp:docPr id="43"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165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w:t>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еквівалентів розчиненої речовини, моль;</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об’єм розчину, л.</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Використовують таку формулу запису нормальної концентрації</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1моль/л,   або 1н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 розчину Т(А), [г/мл]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(простий титр) – це маса речовини  А в грамах, яка міститься в 1мл розчину А:</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0500" cy="393700"/>
            <wp:effectExtent b="0" l="0" r="0" t="0"/>
            <wp:docPr id="42"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190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w:t>
        <w:tab/>
        <w:t xml:space="preserve">m – маса розчиненої речовини, г;</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 об’єм розчину, мл.</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Знаючи нормальну концентрацію (А) розчину речовини А, обчислюють простий титр Т(А) за формулою:</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27100" cy="393700"/>
            <wp:effectExtent b="0" l="0" r="0" t="0"/>
            <wp:docPr id="16"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927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Використовують таку форму позначення титру, наприклад, титру HCl:</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(HCl) = 0,01000г/мл.</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 Титр по речовині, яку визначають Т</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bscript"/>
          <w:rtl w:val="0"/>
        </w:rPr>
        <w:t xml:space="preserve">А/В</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[г/мл]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маса речовини В в грамах, що реагує з 1мл розчину реактиву А.</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форми запису титру по речовині, яку визначають:</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HCl/NaOH</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таке позначення читають: титр хлоридної кислоти за натрій гідроксидом.</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Наприклад, титр хлоридної кислоти за натрій гідроксидом дорівнює:</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HCl/NaOH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0,01000г/мл</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 означає: 0,01000г NaOH титрується 1мл розчину HCl, тобто число молей NaOH, що містяться в 0,01000г NaOH дорівнює числу молей HCl, що містяться в 1мл розчину HCl, або 0,01000г NaOH реагує з 1мл розчину HCl.</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Формула переходу від простого титру Т(А) до титру по речовині, яку визначають Т(А/В), має вигляд:</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А/В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50900" cy="457200"/>
            <wp:effectExtent b="0" l="0" r="0" t="0"/>
            <wp:docPr id="15"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850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еквівалентні маси речовин А і В, г/моль.</w:t>
      </w:r>
    </w:p>
    <w:p w:rsidR="00000000" w:rsidDel="00000000" w:rsidP="00000000" w:rsidRDefault="00000000" w:rsidRPr="00000000" w14:paraId="0000019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Розрахунки в титриметричному аналізі</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Всі розрахунки в титриметричному аналізі базуються на понятті точки еквівалентності.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Точка еквівалентності – момент титрування, в якому число молей еквівалентів титранту дорівнює числу молей еквівалентів речовини, яку визначають.</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Розрахунки проводять за законом еквівалентів для об’ємних визначень за результатами титрування. При цьому обчислюють:</w:t>
      </w:r>
    </w:p>
    <w:p w:rsidR="00000000" w:rsidDel="00000000" w:rsidP="00000000" w:rsidRDefault="00000000" w:rsidRPr="00000000" w14:paraId="0000019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770" w:right="0" w:hanging="69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концентрації розчинів;</w:t>
      </w:r>
    </w:p>
    <w:p w:rsidR="00000000" w:rsidDel="00000000" w:rsidP="00000000" w:rsidRDefault="00000000" w:rsidRPr="00000000" w14:paraId="00000197">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770" w:right="0" w:hanging="69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маси речовин, які визначають.</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1.Розрахунки концентрації розчинів</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Визначення нормальної концентрації Сн(А) через відому нормальну концентрацію Сн(В)</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розчин аліквотної частки речовини А об’ємом V(А) мл титрують розчином речовини В з відомою нормальною концентрацією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об’єм розчину V(В) мл речовини В знаходять за результатами титрування.</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Нормальну концентрацію розчину речовини А обчислюють так:</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Сн(A)·V (A) = Сн(B)·V (B)</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Звідси розраховують нормальну концентрацію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розчину речовини А:</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 (A) = Сн (B)·V (B)/V (A)</w:t>
      </w:r>
    </w:p>
    <w:p w:rsidR="00000000" w:rsidDel="00000000" w:rsidP="00000000" w:rsidRDefault="00000000" w:rsidRPr="00000000" w14:paraId="000001A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2.Розрахунки маси речовин за результатами титрування</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маси речовин проводять:</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результатами титрування аліквотної частки розчину;</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результатами титрування окремої наважки.</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 Визначення маси за результатами титрування аліквотної частки</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Коли відомі концентрація титранту В, об’єми V(В) і аліквотної частки V(А), в точці еквівалентності маємо:</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Сн(A)·V (A) = Сн (B)·V (B).</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тоді: </w:t>
        <w:tab/>
        <w:tab/>
        <w:tab/>
        <w:t xml:space="preserve">m (A)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15900"/>
            <wp:effectExtent b="0" l="0" r="0" t="0"/>
            <wp:docPr id="1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286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(B)·V (B)·m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(A)/V (A),</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w:t>
        <w:tab/>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 молярна маса еквіваленту речовини  А,  г/моль.</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б) Визначення маси речовини за результатами титрування точної маси наважки</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Коли відомі концентрація робочого розчину В і об’єм V(В), в залежності від способу вираження концентрації розчину В використовують наступні формули визначення маси:</w:t>
      </w:r>
    </w:p>
    <w:p w:rsidR="00000000" w:rsidDel="00000000" w:rsidP="00000000" w:rsidRDefault="00000000" w:rsidRPr="00000000" w14:paraId="000001A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концентрація титранту В виражена через нормальну концентрацію Сн(В). </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точці еквівалентності маємо:</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457200" cy="431800"/>
            <wp:effectExtent b="0" l="0" r="0" t="0"/>
            <wp:docPr id="23"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457200" cy="431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889000" cy="393700"/>
            <wp:effectExtent b="0" l="0" r="0" t="0"/>
            <wp:docPr id="22"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889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тоді:</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1384300" cy="393700"/>
            <wp:effectExtent b="0" l="0" r="0" t="0"/>
            <wp:docPr id="2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концентрація робочого розчину В виражена через титр Т (В). В точці еквівалентності справедлива рівність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457200" cy="431800"/>
            <wp:effectExtent b="0" l="0" r="0" t="0"/>
            <wp:docPr id="20"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457200" cy="431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762000" cy="431800"/>
            <wp:effectExtent b="0" l="0" r="0" t="0"/>
            <wp:docPr id="1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762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молярна маса еквіваленту речовини В.</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Тоді:</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 (A)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114300" distR="114300">
            <wp:extent cx="1219200" cy="444500"/>
            <wp:effectExtent b="0" l="0" r="0" t="0"/>
            <wp:docPr id="18"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219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концентрація робочого розчину виражена через титр, виражений в грамах визначуваної речовини Т (В/А):</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 (A) = T (B/A)·V (B)</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Коли ж титрується не вся кількість визначуваної речовини, а лише частка її, яка міститься в аліквоті розчину, враховують співвідношення:</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Vк</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Vп,</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Vк – об’єм мірної колби, мл; Vп – об’єм піпетки Мора, мл.</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Тоді:</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 (A) =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T (B/A)·V(В) Vк</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Vп</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Способи приготування титрантів</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способом приготування титровані розчини діляться на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первинні стандартні розчини, вторинні стандартні розчини  і фіксанальні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Первинні стандартні 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розчини, які отримують розчиненням наважки вихідної речовини, взятої на аналітичних вагах, в мірній колбі заданого об’єму.</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Первинні стандартні (вихідні) речовини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речовини, які відповідають таким вимогам:</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відповідність складу речовини її хімічній формулі;</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стійкість речовини як в сухому вигляді, так і в розчині;</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бажано, щоб вона мала якомога більшу молярну масу еквівалента.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вихідних речовин: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Розрахунки нормальної концентрації первинного стандартного розчину.</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393700"/>
            <wp:effectExtent b="0" l="0" r="0" t="0"/>
            <wp:docPr id="17"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25500" cy="393700"/>
            <wp:effectExtent b="0" l="0" r="0" t="0"/>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825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01700" cy="431800"/>
            <wp:effectExtent b="0" l="0" r="0" t="0"/>
            <wp:docPr id="6"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901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Вторинні стандартні розчини є</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 точну концентрацію яких визначають за допомогою розчину вихідної речовини шляхом титрування.</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Розрахунки нормальної концентрації вторинного стандартного розчину.</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Сн(A)·V (A) = Сн(B)·V (B)</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Звідси розраховують нормальну концентрацію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розчину речовини А:</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Сн (A)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drawing>
          <wp:inline distB="0" distT="0" distL="114300" distR="114300">
            <wp:extent cx="838200" cy="431800"/>
            <wp:effectExtent b="0" l="0" r="0" t="0"/>
            <wp:docPr id="5"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8382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Поправковий коефіцієнт К (або F) – число, що показує відношення практичної концентрації (Сн)пр речовини в розчині до її теоретичної концентрації (Сн)теор. Наприклад, потрібно приготувати розчин з теоретичною концентрацією 0,1000моль/л. Практично приготовлений розчин з концентрацією 0,1056 моль/л. Тоді </w:t>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419100"/>
            <wp:effectExtent b="0" l="0" r="0" t="0"/>
            <wp:docPr id="4"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4699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1,056</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Фіксанальні 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розчини, які отримують розчиненням 0,1 еквівалента маси речовини, що міститься в запаяній скляній ампулі, в мірній колбі ємністю 1л.</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суть титриметричного аналізу?</w:t>
      </w:r>
    </w:p>
    <w:p w:rsidR="00000000" w:rsidDel="00000000" w:rsidP="00000000" w:rsidRDefault="00000000" w:rsidRPr="00000000" w14:paraId="000001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класифікацію титриметричних методів.</w:t>
      </w:r>
    </w:p>
    <w:p w:rsidR="00000000" w:rsidDel="00000000" w:rsidP="00000000" w:rsidRDefault="00000000" w:rsidRPr="00000000" w14:paraId="000001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робочі розчини, і якими методами їх готують?</w:t>
      </w:r>
    </w:p>
    <w:p w:rsidR="00000000" w:rsidDel="00000000" w:rsidP="00000000" w:rsidRDefault="00000000" w:rsidRPr="00000000" w14:paraId="000001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вимоги становлять до первинних стандартів?</w:t>
      </w:r>
    </w:p>
    <w:p w:rsidR="00000000" w:rsidDel="00000000" w:rsidP="00000000" w:rsidRDefault="00000000" w:rsidRPr="00000000" w14:paraId="000001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вторинні стандарти?</w:t>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проводять пряме титрування?</w:t>
      </w:r>
    </w:p>
    <w:p w:rsidR="00000000" w:rsidDel="00000000" w:rsidP="00000000" w:rsidRDefault="00000000" w:rsidRPr="00000000" w14:paraId="000001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обернене титрування?</w:t>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особливість методики титрування замісника?</w:t>
      </w:r>
    </w:p>
    <w:p w:rsidR="00000000" w:rsidDel="00000000" w:rsidP="00000000" w:rsidRDefault="00000000" w:rsidRPr="00000000" w14:paraId="000001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визначити концентрацію титранту?</w:t>
      </w:r>
    </w:p>
    <w:p w:rsidR="00000000" w:rsidDel="00000000" w:rsidP="00000000" w:rsidRDefault="00000000" w:rsidRPr="00000000" w14:paraId="000001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Вимоги до реакцій, які застосовують у титриметрії.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Методи кислотно-основного титрування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методу кислотно-основного титрування відносять усі титриметричні визначення, в основі яких лежить реакція:</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кількісних визначень використовуються розчини точно визначених концентрацій. Розчини таких кислот, як хлоридна, сульфатна, а також лугів (NaOH, KOH) не можна приготувати розчиненням точно зваженої кількості в певному об’ємі розчинника. Звичайно готують розчини приблизно заданої концентрації, а потім встановлюється їх точна концентрація.</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встановлення концентрації розчинів, застосованих в об’ємному аналізі, використовують так звані вихідні або встановлюючі речовини, які можуть бути легко одержані в чистому вигляді, не змінюють свій склад внаслідок розкладання або звітрювання, не розсипаються на повітрі, мають високу молекулярну масу. Концентрацію розчинів лугів визначають використовуючи в якості вихідних речовин оксалатну, янтарну кислоти, калій біфталат та інші, а для встановлення концентрації розчинів кислот в якості вихідних речовин застосовують натрій тетраборат (буру), соду тощо.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Індикатори методу нейтралізації.  Вибір рН-індикаторів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Точку еквівалентності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методі кислотно-основного титрування визначають за допомогою кислотно-основних індикаторів, тобто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рН-індикаторів.</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рН-індикатори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органічні речовини, які мають характер кислот, основ або амфолітів, що змінюють своє забарвлення залежно від рН розчину. Індикатор підбирають для титрування враховуючи основні характеристики:  інтервал переходу й показник титрування.</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Інтервал переходу рН-індикатора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інтервал значень рН, в якому різко змінюється забарвлення індикатора. Інтервал переходу розраховується за формулою:</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1"/>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інд</w:t>
      </w: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рК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інд</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1</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інд</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силовий показник індикатора;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інд</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інд</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Показник титрування (рТ)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значення рН, при якому спостерігається різка зміна забарвлення індикатора і закінчується титрування з ним.</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Вибір індикатора.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Індикатор підбирають таким чином, щоб зміна забарвлення індикатора відбувалась в межах стрибка титрування (0,1% в той чи інший бік від точки еквівалентності) або в точці еквівалентності.</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вибрати індикатор, необхідно:</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написати рівняння реакції;</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розрахувати значення рН розчину в межах стрибка титрування,</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рН розчину в точці еквівалентності.</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рН-індикатор вибирають таким чином, щоб інтервал переходу індикатора знаходився в межах стрибка титрування.</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обчислюють рН розчину в точці еквівалентності, для титрування вибирають той індикатор, у якого величина рТ дорівнювала б величині рН розчину в точці еквівалентності або знаходилася в межах рТ±0,3.</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Таким чином, для вибору індикатора дуже важливо вміти розрахувати рН розчину в процесі титрування або визначати рН в точці еквівалентності.</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hanging="567"/>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Характеристика кривих титрування за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hanging="567"/>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методом кислотно-основного титрування</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Кривою титрування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називається графічне зображення зміни рН розчину залежно від об'єму доданого розчину титранта (або відсотків відтитрованості) в процесі поступового титрування. Криві титрування характеризуються різкою зміною рН розчину поблизу точки еквівалентності - стрибком титрування.</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Стрибок титрування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обчислюється в інтервалі 0,1% невідтитрованої речовини і 0,1% надлишку титранта.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стрибка титрування   залежить:</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сили кислоти й основи, тобто їх здатності дисоціювати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чим сильніше кислота, тим більший стрибок;</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концентрації: чим більша концентрація, тим більший стрибок;</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температури: з підвищенням температури стрибок зменшується.</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Останнє обумовлено тим, що іонний добуток води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41300"/>
            <wp:effectExtent b="0" l="0" r="0" t="0"/>
            <wp:docPr id="13"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25°С. З підвищенням температури іонний добуток води зростає і при 80°С, наприклад, дорівнює 2,4·10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титруванні розчину сильної кислоти лугом при 80°С рН розчину в точці еквівалентності дорівнює не 7, а 6,31:</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 -lg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36600" cy="279400"/>
            <wp:effectExtent b="0" l="0" r="0" t="0"/>
            <wp:docPr id="12"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7366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6,31</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точки еквівалентності рН розчину від температури не залежить, в точці ж еквівалентності і після точки еквівалентності - чим вища температура, тим менша величина рН розчину, тим вужчий стрибок титрування.</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Криві титрування використовуються для вибору рН-індикатора. Інтервал переходу і рТ індикатора повинні знаходитись в межах стрибка титрування.</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Приготування приблизно 0,1н розчину натрій гідроксиду</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Натрій гідроксид не володіє властивостями вихідних речовин, він гігроскопічний і легко реагує з вуглекислим газом повітря. В зв’язку з цим натрій гідроксид завжди містить мінливу кількість вологи та карбонатів. Окрім цього в натрій гідроксиді часто бувають інші домішки, наприклад, хлориди, сульфати тощо. Тому спочатку готують приблизно 0,1н розчин натрій гідроксиду, а точну концентрацію встановлюють за вихідною речовиною: оксалатною, цитратною кислотами або калій біфталатом.</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приготування робочого розчину натрій гідроксиду, що не містить домішок карбонатів, застосовують наступний засіб. 50 г сухого натрій гідроксиду розчиняють під час сильного перемішування в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та переливають розчин у високий циліндр, який добре закривають пробкою. Через деякий час натрій карбонат осаджується на дні циліндру, а прозорий розчин лугу над осадом не містить домішків натрій карбонату.</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Вимірявши ареометром щільність одержаного розчину, за таблицею визначають його концентрацію. Потім розраховують необхідну кількість цього розчину, відбирають обережно піпеткою та розбавляють водою так, щоб отримати приблизно 0,1н розчин.</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 натрій гідроксиду, що містить небагато карбонатів, можна приготувати наступним чином.</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Розраховують наважку NaОН, необхідну для приготування 500 мл 0,1н розчину:</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048000" cy="393700"/>
            <wp:effectExtent b="0" l="0" r="0" t="0"/>
            <wp:docPr id="11"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30480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Надівши захисні окуляри, відважують на технічних терезах натрій гідроксид в кількості, що трохи перевищує необхідну для приготування 0,1н розчину. Наприклад, на 1 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0,1н розчину беруть замість 4г натрій гідроксиду – 5-6г. Наважку переносять у склянку та швидко споліскують 2-3 рази невеликими порціями води, яку виливають. Натрій гідроксид, який залишився, переводять у мірну колбу та доводять об’єм розчину до риски водою, що не містить вуглекислого газу. Для цього воду попередньо кип’ятять й охолоджують.</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Стандартизація розчину натрій гідроксиду за оксалатною кислотою</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концентрації натрій гідроксиду засновано на взаємодії натрій гідроксиду і певної кількості оксалатної кислоти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Момент еквівалентності визначається за допомогою індикатора фенолфталеїну або темно-синього, так як у точці еквівалентності утворюється сіль сильної основи та слабкої кислоти, що повідомляє розчину лужну реакцію.</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бюретку наливають розчин лугу. До ряду конічних колб місткістю 250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беруть наважки сухої оксалатної кислоти рівні 0,1-0,2г, зважують на аналітичних терезах з точністю до 4-го знаку. Оксалатну кислоту розчиняють у 30-40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охолодженого свіжого окропа, додають 2-3 краплі розчину фенолфталеїну та титрують лугом до з’явлення блідо-рожевого кольору, стійкого протягом 30 секунд. Титрування необхідно проводити за можливістю швидко та не слід перемішувати розчин надто інтенсивно, уникаючи поглинання ним вуглекислого газу з повітря.</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Всі отримані результати заносять в лабораторний журнал в вигляді таблиці і розраховують нормальність розчину лугу за формулою:</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514600" cy="444500"/>
            <wp:effectExtent b="0" l="0" r="0" t="0"/>
            <wp:docPr id="10"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2514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Приготування розчину хлоридної кислоти заданої концентрації та стандартизація його за бурою (натрій тетраборату декагідратом)</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 хлоридної кислоти не можна приготувати розчиненням точно виваженої кількості концентрованої кислоти в певному об’ємі розчинника, тому спочатку готують розчин приблизної концентрації, а потім уточнюють його концентрацію за якою-небудь вихідною речовиною. Частіше в якості вихідної речовини для перевірки концентрації хлоридної кислоти використовують натрій тетраборат (буру)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Під час розчинення цієї солі у воді відбувається реакція:</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Таким чином, розбавлений розчин натрій тетраборату можна розглядати як розчин борної кислоти (К = 6,4*10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напіввідтитрований сильною основою (буферний розчин), тобто як розчин кислоти та спряженої з ним основи. При додаванні кислоти в розчин натрій тетраборату відбувається протолітична реакція:</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рівновага зміщується в бік утворення кислоти. Сумарне титрування тетраборату кислотою можна записати рівнянням:</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точці еквівалентності рН розчину визначається присутністю в ньому борної кислоти.</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титрування розчину хлоридної кислоти, що містить приблизно 0,1 грам-еквівалент HCl в літрі, діють наступним чином. Визначають щільність вихідної хлоридної кислоти та за таблицею знаходять відповідну отриманій щільності концентрацію хлоридної кислоти, виражену в вагових відсотках. Розраховують об’єм, необхідний для приготування 0,1н розчину кислоти:</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визначають еквівалентну масу хлоридної кислоти:</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393700"/>
            <wp:effectExtent b="0" l="0" r="0" t="0"/>
            <wp:docPr id="9"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533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визначають масу HCl, необхідну для приготування 500мл 0,1н розчину:</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90700" cy="393700"/>
            <wp:effectExtent b="0" l="0" r="0" t="0"/>
            <wp:docPr id="8"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1790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визначають масу концентрованого розчину HCl (ω=36%), необхідну для приготування 500мл 0,1н розчину:</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57300" cy="393700"/>
            <wp:effectExtent b="0" l="0" r="0" t="0"/>
            <wp:docPr id="141" name="image114.png"/>
            <a:graphic>
              <a:graphicData uri="http://schemas.openxmlformats.org/drawingml/2006/picture">
                <pic:pic>
                  <pic:nvPicPr>
                    <pic:cNvPr id="0" name="image114.png"/>
                    <pic:cNvPicPr preferRelativeResize="0"/>
                  </pic:nvPicPr>
                  <pic:blipFill>
                    <a:blip r:embed="rId44"/>
                    <a:srcRect b="0" l="0" r="0" t="0"/>
                    <a:stretch>
                      <a:fillRect/>
                    </a:stretch>
                  </pic:blipFill>
                  <pic:spPr>
                    <a:xfrm>
                      <a:off x="0" y="0"/>
                      <a:ext cx="1257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г)об’єм розчину обчислюють за формулою:</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52500" cy="431800"/>
            <wp:effectExtent b="0" l="0" r="0" t="0"/>
            <wp:docPr id="140" name="image111.png"/>
            <a:graphic>
              <a:graphicData uri="http://schemas.openxmlformats.org/drawingml/2006/picture">
                <pic:pic>
                  <pic:nvPicPr>
                    <pic:cNvPr id="0" name="image111.png"/>
                    <pic:cNvPicPr preferRelativeResize="0"/>
                  </pic:nvPicPr>
                  <pic:blipFill>
                    <a:blip r:embed="rId45"/>
                    <a:srcRect b="0" l="0" r="0" t="0"/>
                    <a:stretch>
                      <a:fillRect/>
                    </a:stretch>
                  </pic:blipFill>
                  <pic:spPr>
                    <a:xfrm>
                      <a:off x="0" y="0"/>
                      <a:ext cx="952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Потрібний об’єм кислоти відмірюють циліндром, переносять в мірну колбу та доводять до риски дистильованою водою.</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стандартизації приготовленого розчину хлоридної кислоти готують 0,1н розчин бури. Молекулярна маса бури становить 361,42. Розрахуйте її еквівалентну масу в реакції зі хлоридною кислотою та наважку необхідну для приготування 250 (або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0,1н розчину бури.</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Розраховану або близьку до неї кількість бури зважують на аналітичних терезах, переносять наважку бури в склянку, розчиняють в 100-150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гарячої води та переливають у мірну колбу, споліскуючи склянку 5-6 разів невеликими порціями води. Потім розчин охолоджують до кімнатної температури, доводять об’єм розчину в колбі до риски водою та ретельно перемішують розчин.</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Точну величину взятої наважки бури використовують для розрахунку нормальної концентрації приготовленого розчину бури.</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Розраховують нормальну концентрацію розчину за формулою:</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393700"/>
            <wp:effectExtent b="0" l="0" r="0" t="0"/>
            <wp:docPr id="139" name="image118.png"/>
            <a:graphic>
              <a:graphicData uri="http://schemas.openxmlformats.org/drawingml/2006/picture">
                <pic:pic>
                  <pic:nvPicPr>
                    <pic:cNvPr id="0" name="image118.png"/>
                    <pic:cNvPicPr preferRelativeResize="0"/>
                  </pic:nvPicPr>
                  <pic:blipFill>
                    <a:blip r:embed="rId46"/>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87400" cy="393700"/>
            <wp:effectExtent b="0" l="0" r="0" t="0"/>
            <wp:docPr id="138" name="image110.png"/>
            <a:graphic>
              <a:graphicData uri="http://schemas.openxmlformats.org/drawingml/2006/picture">
                <pic:pic>
                  <pic:nvPicPr>
                    <pic:cNvPr id="0" name="image110.png"/>
                    <pic:cNvPicPr preferRelativeResize="0"/>
                  </pic:nvPicPr>
                  <pic:blipFill>
                    <a:blip r:embed="rId47"/>
                    <a:srcRect b="0" l="0" r="0" t="0"/>
                    <a:stretch>
                      <a:fillRect/>
                    </a:stretch>
                  </pic:blipFill>
                  <pic:spPr>
                    <a:xfrm>
                      <a:off x="0" y="0"/>
                      <a:ext cx="787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01700" cy="431800"/>
            <wp:effectExtent b="0" l="0" r="0" t="0"/>
            <wp:docPr id="137" name="image99.png"/>
            <a:graphic>
              <a:graphicData uri="http://schemas.openxmlformats.org/drawingml/2006/picture">
                <pic:pic>
                  <pic:nvPicPr>
                    <pic:cNvPr id="0" name="image99.png"/>
                    <pic:cNvPicPr preferRelativeResize="0"/>
                  </pic:nvPicPr>
                  <pic:blipFill>
                    <a:blip r:embed="rId48"/>
                    <a:srcRect b="0" l="0" r="0" t="0"/>
                    <a:stretch>
                      <a:fillRect/>
                    </a:stretch>
                  </pic:blipFill>
                  <pic:spPr>
                    <a:xfrm>
                      <a:off x="0" y="0"/>
                      <a:ext cx="901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Розрахунок проводять з точністю до 4-го знаку.</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бюретку наливають розчин хлоридної кислоти, приготовленої, як вищеописано. Піпеткою відбирають 10, 20 або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бури та переносять його в конічну колбу для титрування, додають близько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дистильованої води, одну краплю метилового оранжевого та титрують кислотою до зміни забарвлення розчину від жовтого до рожевого. Для приготування “свідка” (розчину, що має забарвлення, до якого необхідно титрувати досліджуваний розчин) діють таким чином: у конічну колбу наливають близько 40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дистильованої води, 1 краплю метилового оранжевого та 1 краплю розчину 0,1н хлоридної кислоти. Титрування проводять 3 рази. Усі отримані результати заносять в лабораторний журнал у вигляді таблиці:</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52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985"/>
        <w:gridCol w:w="1984"/>
        <w:gridCol w:w="1843"/>
        <w:tblGridChange w:id="0">
          <w:tblGrid>
            <w:gridCol w:w="709"/>
            <w:gridCol w:w="1985"/>
            <w:gridCol w:w="1984"/>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Vбури</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Vкислоти</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Vсер (кислоти)</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1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нормальну концентрацію розчину хлоридної кислоти за формулою:</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71700" cy="457200"/>
            <wp:effectExtent b="0" l="0" r="0" t="0"/>
            <wp:docPr id="146" name="image112.png"/>
            <a:graphic>
              <a:graphicData uri="http://schemas.openxmlformats.org/drawingml/2006/picture">
                <pic:pic>
                  <pic:nvPicPr>
                    <pic:cNvPr id="0" name="image112.png"/>
                    <pic:cNvPicPr preferRelativeResize="0"/>
                  </pic:nvPicPr>
                  <pic:blipFill>
                    <a:blip r:embed="rId49"/>
                    <a:srcRect b="0" l="0" r="0" t="0"/>
                    <a:stretch>
                      <a:fillRect/>
                    </a:stretch>
                  </pic:blipFill>
                  <pic:spPr>
                    <a:xfrm>
                      <a:off x="0" y="0"/>
                      <a:ext cx="21717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концентрації розчину кислоти за розчином лугу відомої концентрації</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Концентрацію розчину однієї речовини можна визначити шляхом титрування його розчином іншої речовини з відомою концентрацією.</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визначення концентрації кислоти в конічну колбу відмірюють піпеткою певний об’єм кислоти, концентрацію якої треба визначити, та титрують робочим розчином лугу в присутності 1-2 краплин метилового оранжевого або фенолфталеїну до переходу забарвлення метилового оранжевого від рожевого до оранжевого, а при використанні фенолфталеїну – від безкольорового до блідо-рожевого.</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Аналогічно діють при визначенні концентрації розчину лугу розчином кислоти відомої концентрації.</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Аналіз суміші натрій гідроксиду та натрій карбонату</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їдкому лузі завжди міститься деяка кількість натрій карбонату, який утворюється під час поглинання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повітря:</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32000" cy="228600"/>
            <wp:effectExtent b="0" l="0" r="0" t="0"/>
            <wp:docPr id="145" name="image119.png"/>
            <a:graphic>
              <a:graphicData uri="http://schemas.openxmlformats.org/drawingml/2006/picture">
                <pic:pic>
                  <pic:nvPicPr>
                    <pic:cNvPr id="0" name="image119.png"/>
                    <pic:cNvPicPr preferRelativeResize="0"/>
                  </pic:nvPicPr>
                  <pic:blipFill>
                    <a:blip r:embed="rId50"/>
                    <a:srcRect b="0" l="0" r="0" t="0"/>
                    <a:stretch>
                      <a:fillRect/>
                    </a:stretch>
                  </pic:blipFill>
                  <pic:spPr>
                    <a:xfrm>
                      <a:off x="0" y="0"/>
                      <a:ext cx="2032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Тому перед дослідником нерідко стоїть задача визначити вміст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165100"/>
            <wp:effectExtent b="0" l="0" r="0" t="0"/>
            <wp:docPr id="144" name="image96.png"/>
            <a:graphic>
              <a:graphicData uri="http://schemas.openxmlformats.org/drawingml/2006/picture">
                <pic:pic>
                  <pic:nvPicPr>
                    <pic:cNvPr id="0" name="image96.png"/>
                    <pic:cNvPicPr preferRelativeResize="0"/>
                  </pic:nvPicPr>
                  <pic:blipFill>
                    <a:blip r:embed="rId51"/>
                    <a:srcRect b="0" l="0" r="0" t="0"/>
                    <a:stretch>
                      <a:fillRect/>
                    </a:stretch>
                  </pic:blipFill>
                  <pic:spPr>
                    <a:xfrm>
                      <a:off x="0" y="0"/>
                      <a:ext cx="4699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228600"/>
            <wp:effectExtent b="0" l="0" r="0" t="0"/>
            <wp:docPr id="143" name="image87.png"/>
            <a:graphic>
              <a:graphicData uri="http://schemas.openxmlformats.org/drawingml/2006/picture">
                <pic:pic>
                  <pic:nvPicPr>
                    <pic:cNvPr id="0" name="image87.png"/>
                    <pic:cNvPicPr preferRelativeResize="0"/>
                  </pic:nvPicPr>
                  <pic:blipFill>
                    <a:blip r:embed="rId52"/>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її сумісній присутності в розчині.</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Існує два методи визначення натрій гідроксиду та натрій карбонату в суміші. Перший метод – з виділенням води шляхом осадження карбонат-іонів розчином барій хлориду. Другий метод – визначення титруванням розчином кислоти з двома індикаторами. Розглянемо докладніше цей метод. Титрування розчину, що містить суміш натрій гідроксиду та натрій карбонату, проводять спочатку в присутності фенолфталеїну. При цьому знебарвлення настає в момент, коли закінчується нейтралізація всього натрій гідроксиду та половини натрій карбонату, який перетворюється в гідрогенкарбонат:</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NaOH + HCl = NaCl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HCl = NaHCO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NaCl</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Потім додають метиловий оранжевий і проводять титрування хлоридною кислотою до переходу кольору розчину з жовтого в оранжевий. При цьому йде реакція:</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HCl = NaCl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титрується недотитрована половина натрій карбонату , що залишилася.</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який аналізують, приливають 2-3 краплі 0,1%-ого розчину фенолфталеїну та титрують розчином хлоридної кислоти до знебарвлення. Помічають об’єм хлоридної кислоти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витратили на титрування всього натрій гідроксиду та половини натрій карбонату. Приливають краплю розчину метилового оранжевого та продовжують титрування до переходу забарвлення в рожеве. Помічають загальний об’єм кислоти, що витратили на титрування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Титрування повторюють 3 рази й одержані результати заносять у таблицю:</w:t>
      </w:r>
    </w:p>
    <w:tbl>
      <w:tblPr>
        <w:tblStyle w:val="Table2"/>
        <w:tblW w:w="66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
        <w:gridCol w:w="962"/>
        <w:gridCol w:w="982"/>
        <w:gridCol w:w="2468"/>
        <w:gridCol w:w="1759"/>
        <w:tblGridChange w:id="0">
          <w:tblGrid>
            <w:gridCol w:w="515"/>
            <w:gridCol w:w="962"/>
            <w:gridCol w:w="982"/>
            <w:gridCol w:w="2468"/>
            <w:gridCol w:w="1759"/>
          </w:tblGrid>
        </w:tblGridChange>
      </w:tblGrid>
      <w:tr>
        <w:trPr>
          <w:cantSplit w:val="0"/>
          <w:tblHeader w:val="0"/>
        </w:trPr>
        <w:tc>
          <w:tcPr>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п/п</w:t>
            </w:r>
          </w:p>
        </w:tc>
        <w:tc>
          <w:tcPr>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15900"/>
                  <wp:effectExtent b="0" l="0" r="0" t="0"/>
                  <wp:docPr id="142" name="image105.png"/>
                  <a:graphic>
                    <a:graphicData uri="http://schemas.openxmlformats.org/drawingml/2006/picture">
                      <pic:pic>
                        <pic:nvPicPr>
                          <pic:cNvPr id="0" name="image105.png"/>
                          <pic:cNvPicPr preferRelativeResize="0"/>
                        </pic:nvPicPr>
                        <pic:blipFill>
                          <a:blip r:embed="rId53"/>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w:t>
            </w:r>
          </w:p>
        </w:tc>
        <w:tc>
          <w:tcPr>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32" name="image116.png"/>
                  <a:graphic>
                    <a:graphicData uri="http://schemas.openxmlformats.org/drawingml/2006/picture">
                      <pic:pic>
                        <pic:nvPicPr>
                          <pic:cNvPr id="0" name="image116.png"/>
                          <pic:cNvPicPr preferRelativeResize="0"/>
                        </pic:nvPicPr>
                        <pic:blipFill>
                          <a:blip r:embed="rId54"/>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w:t>
            </w:r>
          </w:p>
        </w:tc>
        <w:tc>
          <w:tcPr>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14400" cy="228600"/>
                  <wp:effectExtent b="0" l="0" r="0" t="0"/>
                  <wp:docPr id="131" name="image107.png"/>
                  <a:graphic>
                    <a:graphicData uri="http://schemas.openxmlformats.org/drawingml/2006/picture">
                      <pic:pic>
                        <pic:nvPicPr>
                          <pic:cNvPr id="0" name="image107.png"/>
                          <pic:cNvPicPr preferRelativeResize="0"/>
                        </pic:nvPicPr>
                        <pic:blipFill>
                          <a:blip r:embed="rId55"/>
                          <a:srcRect b="0" l="0" r="0" t="0"/>
                          <a:stretch>
                            <a:fillRect/>
                          </a:stretch>
                        </pic:blipFill>
                        <pic:spPr>
                          <a:xfrm>
                            <a:off x="0" y="0"/>
                            <a:ext cx="914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228600"/>
                  <wp:effectExtent b="0" l="0" r="0" t="0"/>
                  <wp:docPr id="130" name="image87.png"/>
                  <a:graphic>
                    <a:graphicData uri="http://schemas.openxmlformats.org/drawingml/2006/picture">
                      <pic:pic>
                        <pic:nvPicPr>
                          <pic:cNvPr id="0" name="image87.png"/>
                          <pic:cNvPicPr preferRelativeResize="0"/>
                        </pic:nvPicPr>
                        <pic:blipFill>
                          <a:blip r:embed="rId52"/>
                          <a:srcRect b="0" l="0" r="0" t="0"/>
                          <a:stretch>
                            <a:fillRect/>
                          </a:stretch>
                        </pic:blipFill>
                        <pic:spPr>
                          <a:xfrm>
                            <a:off x="0" y="0"/>
                            <a:ext cx="533400" cy="2286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23900" cy="228600"/>
                  <wp:effectExtent b="0" l="0" r="0" t="0"/>
                  <wp:docPr id="129" name="image106.png"/>
                  <a:graphic>
                    <a:graphicData uri="http://schemas.openxmlformats.org/drawingml/2006/picture">
                      <pic:pic>
                        <pic:nvPicPr>
                          <pic:cNvPr id="0" name="image106.png"/>
                          <pic:cNvPicPr preferRelativeResize="0"/>
                        </pic:nvPicPr>
                        <pic:blipFill>
                          <a:blip r:embed="rId56"/>
                          <a:srcRect b="0" l="0" r="0" t="0"/>
                          <a:stretch>
                            <a:fillRect/>
                          </a:stretch>
                        </pic:blipFill>
                        <pic:spPr>
                          <a:xfrm>
                            <a:off x="0" y="0"/>
                            <a:ext cx="723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165100"/>
                  <wp:effectExtent b="0" l="0" r="0" t="0"/>
                  <wp:docPr id="128" name="image96.png"/>
                  <a:graphic>
                    <a:graphicData uri="http://schemas.openxmlformats.org/drawingml/2006/picture">
                      <pic:pic>
                        <pic:nvPicPr>
                          <pic:cNvPr id="0" name="image96.png"/>
                          <pic:cNvPicPr preferRelativeResize="0"/>
                        </pic:nvPicPr>
                        <pic:blipFill>
                          <a:blip r:embed="rId51"/>
                          <a:srcRect b="0" l="0" r="0" t="0"/>
                          <a:stretch>
                            <a:fillRect/>
                          </a:stretch>
                        </pic:blipFill>
                        <pic:spPr>
                          <a:xfrm>
                            <a:off x="0" y="0"/>
                            <a:ext cx="469900" cy="1651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15900"/>
            <wp:effectExtent b="0" l="0" r="0" t="0"/>
            <wp:docPr id="127" name="image105.png"/>
            <a:graphic>
              <a:graphicData uri="http://schemas.openxmlformats.org/drawingml/2006/picture">
                <pic:pic>
                  <pic:nvPicPr>
                    <pic:cNvPr id="0" name="image105.png"/>
                    <pic:cNvPicPr preferRelativeResize="0"/>
                  </pic:nvPicPr>
                  <pic:blipFill>
                    <a:blip r:embed="rId53"/>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хлоридної кислоти, витрачений на титрування натрій гідроксиду та 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228600"/>
            <wp:effectExtent b="0" l="0" r="0" t="0"/>
            <wp:docPr id="136" name="image87.png"/>
            <a:graphic>
              <a:graphicData uri="http://schemas.openxmlformats.org/drawingml/2006/picture">
                <pic:pic>
                  <pic:nvPicPr>
                    <pic:cNvPr id="0" name="image87.png"/>
                    <pic:cNvPicPr preferRelativeResize="0"/>
                  </pic:nvPicPr>
                  <pic:blipFill>
                    <a:blip r:embed="rId52"/>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35" name="image116.png"/>
            <a:graphic>
              <a:graphicData uri="http://schemas.openxmlformats.org/drawingml/2006/picture">
                <pic:pic>
                  <pic:nvPicPr>
                    <pic:cNvPr id="0" name="image116.png"/>
                    <pic:cNvPicPr preferRelativeResize="0"/>
                  </pic:nvPicPr>
                  <pic:blipFill>
                    <a:blip r:embed="rId54"/>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кислоти, що витратили на титрування всього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165100"/>
            <wp:effectExtent b="0" l="0" r="0" t="0"/>
            <wp:docPr id="134" name="image96.png"/>
            <a:graphic>
              <a:graphicData uri="http://schemas.openxmlformats.org/drawingml/2006/picture">
                <pic:pic>
                  <pic:nvPicPr>
                    <pic:cNvPr id="0" name="image96.png"/>
                    <pic:cNvPicPr preferRelativeResize="0"/>
                  </pic:nvPicPr>
                  <pic:blipFill>
                    <a:blip r:embed="rId51"/>
                    <a:srcRect b="0" l="0" r="0" t="0"/>
                    <a:stretch>
                      <a:fillRect/>
                    </a:stretch>
                  </pic:blipFill>
                  <pic:spPr>
                    <a:xfrm>
                      <a:off x="0" y="0"/>
                      <a:ext cx="4699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228600"/>
            <wp:effectExtent b="0" l="0" r="0" t="0"/>
            <wp:docPr id="133" name="image87.png"/>
            <a:graphic>
              <a:graphicData uri="http://schemas.openxmlformats.org/drawingml/2006/picture">
                <pic:pic>
                  <pic:nvPicPr>
                    <pic:cNvPr id="0" name="image87.png"/>
                    <pic:cNvPicPr preferRelativeResize="0"/>
                  </pic:nvPicPr>
                  <pic:blipFill>
                    <a:blip r:embed="rId52"/>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28600"/>
            <wp:effectExtent b="0" l="0" r="0" t="0"/>
            <wp:docPr id="113"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кислоти, що витратили на титрування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228600"/>
            <wp:effectExtent b="0" l="0" r="0" t="0"/>
            <wp:docPr id="112" name="image87.png"/>
            <a:graphic>
              <a:graphicData uri="http://schemas.openxmlformats.org/drawingml/2006/picture">
                <pic:pic>
                  <pic:nvPicPr>
                    <pic:cNvPr id="0" name="image87.png"/>
                    <pic:cNvPicPr preferRelativeResize="0"/>
                  </pic:nvPicPr>
                  <pic:blipFill>
                    <a:blip r:embed="rId52"/>
                    <a:srcRect b="0" l="0" r="0" t="0"/>
                    <a:stretch>
                      <a:fillRect/>
                    </a:stretch>
                  </pic:blipFill>
                  <pic:spPr>
                    <a:xfrm>
                      <a:off x="0" y="0"/>
                      <a:ext cx="533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11" name="image94.png"/>
            <a:graphic>
              <a:graphicData uri="http://schemas.openxmlformats.org/drawingml/2006/picture">
                <pic:pic>
                  <pic:nvPicPr>
                    <pic:cNvPr id="0" name="image94.png"/>
                    <pic:cNvPicPr preferRelativeResize="0"/>
                  </pic:nvPicPr>
                  <pic:blipFill>
                    <a:blip r:embed="rId58"/>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кислоти, що витратили на титрування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165100"/>
            <wp:effectExtent b="0" l="0" r="0" t="0"/>
            <wp:docPr id="110" name="image96.png"/>
            <a:graphic>
              <a:graphicData uri="http://schemas.openxmlformats.org/drawingml/2006/picture">
                <pic:pic>
                  <pic:nvPicPr>
                    <pic:cNvPr id="0" name="image96.png"/>
                    <pic:cNvPicPr preferRelativeResize="0"/>
                  </pic:nvPicPr>
                  <pic:blipFill>
                    <a:blip r:embed="rId51"/>
                    <a:srcRect b="0" l="0" r="0" t="0"/>
                    <a:stretch>
                      <a:fillRect/>
                    </a:stretch>
                  </pic:blipFill>
                  <pic:spPr>
                    <a:xfrm>
                      <a:off x="0" y="0"/>
                      <a:ext cx="4699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між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09" name="image116.png"/>
            <a:graphic>
              <a:graphicData uri="http://schemas.openxmlformats.org/drawingml/2006/picture">
                <pic:pic>
                  <pic:nvPicPr>
                    <pic:cNvPr id="0" name="image116.png"/>
                    <pic:cNvPicPr preferRelativeResize="0"/>
                  </pic:nvPicPr>
                  <pic:blipFill>
                    <a:blip r:embed="rId54"/>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об’єму кислоти, витраченої на титрування гідрогенкарбонату, тобто на титрування половини карбонату.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титрування всього натрій карбонату витрачається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08" name="image116.png"/>
            <a:graphic>
              <a:graphicData uri="http://schemas.openxmlformats.org/drawingml/2006/picture">
                <pic:pic>
                  <pic:nvPicPr>
                    <pic:cNvPr id="0" name="image116.png"/>
                    <pic:cNvPicPr preferRelativeResize="0"/>
                  </pic:nvPicPr>
                  <pic:blipFill>
                    <a:blip r:embed="rId54"/>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28600"/>
            <wp:effectExtent b="0" l="0" r="0" t="0"/>
            <wp:docPr id="107"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 на титрування натрій гідроксиду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20" name="image116.png"/>
            <a:graphic>
              <a:graphicData uri="http://schemas.openxmlformats.org/drawingml/2006/picture">
                <pic:pic>
                  <pic:nvPicPr>
                    <pic:cNvPr id="0" name="image116.png"/>
                    <pic:cNvPicPr preferRelativeResize="0"/>
                  </pic:nvPicPr>
                  <pic:blipFill>
                    <a:blip r:embed="rId54"/>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28600"/>
            <wp:effectExtent b="0" l="0" r="0" t="0"/>
            <wp:docPr id="118"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кислоти.</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Розрахуйте кількість натрій гідроксиду та натрій карбонату в розчині, що аналізується ( в грамах).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аналізується не розчин, а суха суміш, то беруть наважку рівну 0,2-0,3г, розчиняють в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охолодженої кип’яченої води, титрують за вищевказаною методикою та розраховують відсотковий вміст натрій гідроксиду та натрій карбонату в суміші.</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Аналіз солей амонію</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Варіант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Визначення засновано на реакції взаємодії солей амонію з мурашиним альдегідом:</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 =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+ 4HCl</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Кислоту, що виділяється, відтитровують 0,1н розчином натрій гідроксиду в присутності фенолфталеїну. Цей індикатор застосовують тому, що точка еквівалентності лежить при рН=7, так як в результаті заснованої реакції утворюється слабка основа гексаметілентетраміну.</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виконання визначення до досліджуваного розчину солі амонію приливають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формальдегіду, нейтралізованого за фенолфталеїном, і через 1-2 хвилини титрують розчином натрій гідроксиду в присутності фенолфталеїну.</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вміст амоніаку у грамах.</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Варіант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Процес визначення описується наступними рівняннями:</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NaOH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  NaCl</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NaOH  +  HCl  =NaCl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Зважують на аналітичних вагах приблизно 0,7 г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чи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розчиняють в дистильованій воді в мірній колбі на 200-250 мл.</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Відмірюють піпеткою в колбу для титрування 20-25 мл розчину солі амонію, додають 30 мл 0,1 н розчину лугу і кип’ятять до повного видалення амоніаку. Повноту видалення амоніаку перевіряють таким чином: смужку фільтрувального паперу, змоченого розчином реактиву Неслера, вносять в пару, яка виділяється. Відсутність червоно-бурого забарвлення свідчить про видалення амоніаку.</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який охолонув, додають дистильованої води 10-15 мл, приливають 1-2 краплі метилового оранжевого і відтитровують надлишок лугу розчином хлоридної кислоти відомої нормальності. Визначення повторюють три рази.</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Розрахунки процентного вмісту амоніаку в солі проводять за формулою:</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81500" cy="393700"/>
            <wp:effectExtent b="0" l="0" r="0" t="0"/>
            <wp:docPr id="116" name="image117.png"/>
            <a:graphic>
              <a:graphicData uri="http://schemas.openxmlformats.org/drawingml/2006/picture">
                <pic:pic>
                  <pic:nvPicPr>
                    <pic:cNvPr id="0" name="image117.png"/>
                    <pic:cNvPicPr preferRelativeResize="0"/>
                  </pic:nvPicPr>
                  <pic:blipFill>
                    <a:blip r:embed="rId59"/>
                    <a:srcRect b="0" l="0" r="0" t="0"/>
                    <a:stretch>
                      <a:fillRect/>
                    </a:stretch>
                  </pic:blipFill>
                  <pic:spPr>
                    <a:xfrm>
                      <a:off x="0" y="0"/>
                      <a:ext cx="4381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15900"/>
            <wp:effectExtent b="0" l="0" r="0" t="0"/>
            <wp:docPr id="9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286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(NaOH)·V(NaOH)- кількість лугу, яка взята для розкладання солі амонію,</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15900"/>
            <wp:effectExtent b="0" l="0" r="0" t="0"/>
            <wp:docPr id="9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286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(HCl)·V(HCl)- кількість хлоридної кислоти, яка витрачена на титрування надлишку лугу, який не вступив в реакцію з амонійною сіллю,</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еквівалентна маса амоніаку,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мірної колби,</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q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наважка солі амонію,</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розчину, що взятий для титрування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Отриманий результат порівнюють з теоретичним вмістом амоніаку в досліджуваній солі.</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хлоридної та борної кислот у суміші</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Борна кислота вважається дуже слабкою одноосновною кислотою з К=6,4*10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час титрування в розбавлених розчинах борна кислота веде себе як метаборна, тому її реакцію з лугом можна виразити рівнянням:</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NaOH = NaBO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повному вигляді рівняння зображують так:</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NaOH = NaH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NaOH = NaBO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Значення рН в точці еквівалентності обчислюють за формулой: рН=7+1/2рН + 1/2lgС</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 cy="127000"/>
            <wp:effectExtent b="0" l="0" r="0" t="0"/>
            <wp:docPr id="92" name="image91.png"/>
            <a:graphic>
              <a:graphicData uri="http://schemas.openxmlformats.org/drawingml/2006/picture">
                <pic:pic>
                  <pic:nvPicPr>
                    <pic:cNvPr id="0" name="image91.png"/>
                    <pic:cNvPicPr preferRelativeResize="0"/>
                  </pic:nvPicPr>
                  <pic:blipFill>
                    <a:blip r:embed="rId60"/>
                    <a:srcRect b="0" l="0" r="0" t="0"/>
                    <a:stretch>
                      <a:fillRect/>
                    </a:stretch>
                  </pic:blipFill>
                  <pic:spPr>
                    <a:xfrm>
                      <a:off x="0" y="0"/>
                      <a:ext cx="127000" cy="127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0,1М   рН=7+4,6-0,5=11,1</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Крива титрування характеризується слабким перегином поблизу точки еквівалентності внаслідок сильного гідролізу солі, що утворюється. Індикатори з рН=11 не застосовуються в об’ємному аналізі, тому борну кислоту безпосереднім титруванням натрій гідроксидом визначити неможливо. Але якщо в розчин додати декотрі багатоатомні спирти (гліцерин, інвертний цукор тощо), то вони з борною кислотою утворюють більш сильні комплексні сполуки, які вже можна титрувати з такими індикаторами, як фенолфталеїн.</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визначення вмісту хлоридної кислоти в суміші до досліджуваного розчину додають 1-2 краплі метилового оранжевого та титрують 0,1н розчином натрій гідроксиду до з’явлення оранжевого забарвлення. Відмічають кількість мілілітрів лугу, що витратили на титрування і розраховують вміст хлоридної кислоти в суміші.</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Потім додають 4 краплі фенолфталеїну й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нейтралізованого за фенолфталеїном розчину глюкози та титрують 0,5н розчином натрій гідроксиду до з’явлення рожевого забарвлення. Потім додають ще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глюкози й, якщо розчин не залишається забарвленим у рожевий колір, його знову титрують натрій гідроксидом до появи рожевого кольору. Додавання глюкози та титрування натрій гідроксидом продовжують до тих пір, доки від чергової порції глюкози індикатор не перестає знебарвлюватися та залишається забарвленим у рожевий колір. Кількість мілілітрів лугу, що витратили на титрування розчину в присутності глюкози та фенолфталеїну, відповідає вмісту борної кислоти.</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ацетатної кислоти</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конічну колбу вносять 20-25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досліджуваного розчину ацетатної кислоти, додають 2-3 краплі фенолфталеїну та титрують 0,1н розчином натрій гідроксиду до з’явлення блідо-рожевого забарвлення, стійкого протягом 30 секунд. Розраховують кількість ацетатної кислоти.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карбонатної жорсткості води</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Жорсткість води зумовлена вмістом розчинних солей Кальцію та Магнію. Розрізняють два види жорсткості: карбонатну (тимчасову) та некарбонатну (постійну).</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Карбонатна жорсткість залежить від присутності в воді гідрогенкарбонатних солей Кальцію та Магнію. Ця жорсткість майже повністю усувається нагріванням розчину до кипіння. При цьому кальцій гідрогенкарбонат розкладається та осаджується:</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Магній гідрогенкарбонат при цьому також розкладається, але магній карбонат помітно розчинний у воді: 0,1г в 1 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Некарбонатна жорсткість зумовлена присутністю магній та кальцій хлоридів і сульфатів. Ці солі під час кипіння залишаються у воді.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цікавляться загальним вмістом Кальцію та Магнію незалежно від природи аніонів, то визначають загальну жорсткість води.</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Жорсткість води виражають у міліграм-евівалентах розчинних солей Кальцію та Магнію в 1 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визначення карбонатної жорсткості відбирають піпеткою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досліджуваної води, приливають 2-3 краплі метилового оранжевого, потім титрують 0,1н розчином хлоридної кислоти до переходу забарвлення індикатору з жовтого в рожеве.</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цьому відбуваються реакції:</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+ 2HCl = CaCl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+ 2HCl =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Карбонатну жорсткість розраховують у тисячних долях еквівалентної маси на 1л води за формулою:</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79600" cy="431800"/>
            <wp:effectExtent b="0" l="0" r="0" t="0"/>
            <wp:docPr id="91" name="image88.png"/>
            <a:graphic>
              <a:graphicData uri="http://schemas.openxmlformats.org/drawingml/2006/picture">
                <pic:pic>
                  <pic:nvPicPr>
                    <pic:cNvPr id="0" name="image88.png"/>
                    <pic:cNvPicPr preferRelativeResize="0"/>
                  </pic:nvPicPr>
                  <pic:blipFill>
                    <a:blip r:embed="rId61"/>
                    <a:srcRect b="0" l="0" r="0" t="0"/>
                    <a:stretch>
                      <a:fillRect/>
                    </a:stretch>
                  </pic:blipFill>
                  <pic:spPr>
                    <a:xfrm>
                      <a:off x="0" y="0"/>
                      <a:ext cx="1879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методу нейтралізації. Які речовини визначають методом нейтралізації? Які робочі розчини застосовують у цьому методі?</w:t>
      </w:r>
    </w:p>
    <w:p w:rsidR="00000000" w:rsidDel="00000000" w:rsidP="00000000" w:rsidRDefault="00000000" w:rsidRPr="00000000" w14:paraId="000002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точка еквівалентності і як її фіксують?</w:t>
      </w:r>
    </w:p>
    <w:p w:rsidR="00000000" w:rsidDel="00000000" w:rsidP="00000000" w:rsidRDefault="00000000" w:rsidRPr="00000000" w14:paraId="000002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приготувати титровані розчини? Чи всі речовини можуть бути використані для приготування таких розчинів шляхом взяття точної наважки? Яким вимогам повинні задовольняти установочні речовини?</w:t>
      </w:r>
    </w:p>
    <w:p w:rsidR="00000000" w:rsidDel="00000000" w:rsidP="00000000" w:rsidRDefault="00000000" w:rsidRPr="00000000" w14:paraId="000002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обумовлена зміна забарвлення індикаторів? У чому сутність іонної теорії індикаторів?</w:t>
      </w:r>
    </w:p>
    <w:p w:rsidR="00000000" w:rsidDel="00000000" w:rsidP="00000000" w:rsidRDefault="00000000" w:rsidRPr="00000000" w14:paraId="000002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Криві титрування. Як можна підібрати індикатор для кислотно-основного титрування?</w:t>
      </w:r>
    </w:p>
    <w:p w:rsidR="00000000" w:rsidDel="00000000" w:rsidP="00000000" w:rsidRDefault="00000000" w:rsidRPr="00000000" w14:paraId="000002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область переходу забарвлення індикатору та показник титрування рТ індикатору?</w:t>
      </w:r>
    </w:p>
    <w:p w:rsidR="00000000" w:rsidDel="00000000" w:rsidP="00000000" w:rsidRDefault="00000000" w:rsidRPr="00000000" w14:paraId="000002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методу зворотнього титрування? </w:t>
      </w:r>
    </w:p>
    <w:p w:rsidR="00000000" w:rsidDel="00000000" w:rsidP="00000000" w:rsidRDefault="00000000" w:rsidRPr="00000000" w14:paraId="000002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ґрунтується метод визначення NaOH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їх сумісній присутності?</w:t>
      </w:r>
    </w:p>
    <w:p w:rsidR="00000000" w:rsidDel="00000000" w:rsidP="00000000" w:rsidRDefault="00000000" w:rsidRPr="00000000" w14:paraId="000002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яким індикатором можна проводити титрування мурашиної кислоти розчином натрій гідроксиду?</w:t>
      </w:r>
    </w:p>
    <w:p w:rsidR="00000000" w:rsidDel="00000000" w:rsidP="00000000" w:rsidRDefault="00000000" w:rsidRPr="00000000" w14:paraId="000002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титрувати розчин амоніаку сильною кислотою, використовуючи індикатор метиловий червоний?</w:t>
      </w:r>
    </w:p>
    <w:p w:rsidR="00000000" w:rsidDel="00000000" w:rsidP="00000000" w:rsidRDefault="00000000" w:rsidRPr="00000000" w14:paraId="000002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708400" cy="469900"/>
            <wp:effectExtent b="0" l="0" r="0" t="0"/>
            <wp:docPr id="90" name="image100.png"/>
            <a:graphic>
              <a:graphicData uri="http://schemas.openxmlformats.org/drawingml/2006/picture">
                <pic:pic>
                  <pic:nvPicPr>
                    <pic:cNvPr id="0" name="image100.png"/>
                    <pic:cNvPicPr preferRelativeResize="0"/>
                  </pic:nvPicPr>
                  <pic:blipFill>
                    <a:blip r:embed="rId62"/>
                    <a:srcRect b="0" l="0" r="0" t="0"/>
                    <a:stretch>
                      <a:fillRect/>
                    </a:stretch>
                  </pic:blipFill>
                  <pic:spPr>
                    <a:xfrm>
                      <a:off x="0" y="0"/>
                      <a:ext cx="37084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Серед наведених сполук знайдіть кислоти, основи за протолітичною теорією. Складіть спряжені пари.</w:t>
      </w:r>
    </w:p>
    <w:p w:rsidR="00000000" w:rsidDel="00000000" w:rsidP="00000000" w:rsidRDefault="00000000" w:rsidRPr="00000000" w14:paraId="000002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титрувати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9100" cy="215900"/>
            <wp:effectExtent b="0" l="0" r="0" t="0"/>
            <wp:docPr id="89" name="image70.png"/>
            <a:graphic>
              <a:graphicData uri="http://schemas.openxmlformats.org/drawingml/2006/picture">
                <pic:pic>
                  <pic:nvPicPr>
                    <pic:cNvPr id="0" name="image70.png"/>
                    <pic:cNvPicPr preferRelativeResize="0"/>
                  </pic:nvPicPr>
                  <pic:blipFill>
                    <a:blip r:embed="rId63"/>
                    <a:srcRect b="0" l="0" r="0" t="0"/>
                    <a:stretch>
                      <a:fillRect/>
                    </a:stretch>
                  </pic:blipFill>
                  <pic:spPr>
                    <a:xfrm>
                      <a:off x="0" y="0"/>
                      <a:ext cx="419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водному розчині?</w:t>
      </w:r>
    </w:p>
    <w:p w:rsidR="00000000" w:rsidDel="00000000" w:rsidP="00000000" w:rsidRDefault="00000000" w:rsidRPr="00000000" w14:paraId="000002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визначення хлоридної та борної кислот у суміші?</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Методи окисно-відновного титрування</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Ці методи засновані на реакції окислення-відновлення. Їх назва звичайно походить від застосованого титрованого розчину реагента, наприклад: перманганатометрія, дихроматометрія, броматометрія. В цих методах в якості титрованих розчинів відповідно застосовують: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KBrO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 об’ємного аналізу, що засновані на реакціях окислення-відновлення, використовують для кількісного визначення окисників або відновників в аналізованому розчині. Невідому концентрацію окисника або відновника визначають за формулою:</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43000" cy="241300"/>
            <wp:effectExtent b="0" l="0" r="0" t="0"/>
            <wp:docPr id="88" name="image73.png"/>
            <a:graphic>
              <a:graphicData uri="http://schemas.openxmlformats.org/drawingml/2006/picture">
                <pic:pic>
                  <pic:nvPicPr>
                    <pic:cNvPr id="0" name="image73.png"/>
                    <pic:cNvPicPr preferRelativeResize="0"/>
                  </pic:nvPicPr>
                  <pic:blipFill>
                    <a:blip r:embed="rId64"/>
                    <a:srcRect b="0" l="0" r="0" t="0"/>
                    <a:stretch>
                      <a:fillRect/>
                    </a:stretch>
                  </pic:blipFill>
                  <pic:spPr>
                    <a:xfrm>
                      <a:off x="0" y="0"/>
                      <a:ext cx="1143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3200" cy="241300"/>
            <wp:effectExtent b="0" l="0" r="0" t="0"/>
            <wp:docPr id="87" name="image71.png"/>
            <a:graphic>
              <a:graphicData uri="http://schemas.openxmlformats.org/drawingml/2006/picture">
                <pic:pic>
                  <pic:nvPicPr>
                    <pic:cNvPr id="0" name="image71.png"/>
                    <pic:cNvPicPr preferRelativeResize="0"/>
                  </pic:nvPicPr>
                  <pic:blipFill>
                    <a:blip r:embed="rId65"/>
                    <a:srcRect b="0" l="0" r="0" t="0"/>
                    <a:stretch>
                      <a:fillRect/>
                    </a:stretch>
                  </pic:blipFill>
                  <pic:spPr>
                    <a:xfrm>
                      <a:off x="0" y="0"/>
                      <a:ext cx="2032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3200" cy="203200"/>
            <wp:effectExtent b="0" l="0" r="0" t="0"/>
            <wp:docPr id="99" name="image81.png"/>
            <a:graphic>
              <a:graphicData uri="http://schemas.openxmlformats.org/drawingml/2006/picture">
                <pic:pic>
                  <pic:nvPicPr>
                    <pic:cNvPr id="0" name="image81.png"/>
                    <pic:cNvPicPr preferRelativeResize="0"/>
                  </pic:nvPicPr>
                  <pic:blipFill>
                    <a:blip r:embed="rId66"/>
                    <a:srcRect b="0" l="0" r="0" t="0"/>
                    <a:stretch>
                      <a:fillRect/>
                    </a:stretch>
                  </pic:blipFill>
                  <pic:spPr>
                    <a:xfrm>
                      <a:off x="0" y="0"/>
                      <a:ext cx="203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нормальна концентрація й об’єм розчину окисника;</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69900" cy="228600"/>
            <wp:effectExtent b="0" l="0" r="0" t="0"/>
            <wp:docPr id="97"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469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нормальна концентрація й об’єм розчину відновника.</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Перманганатометрія</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Окисно-відновний потенціал калій перманганату в значній мірі залежить від кислотності середовища. В сильнокислотному середовищі перманганат-іон володіє високим окисно-відновним потенціалом (+1,51В), відновлюючись до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та застосовується для визначення багатьох відновників.</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Калій перманганат є окисник і в кислому, і в нейтральному, і в лужному середовищі. Під час титрування кислих розчинів відновлюється до знебарвлених іонів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0" cy="228600"/>
            <wp:effectExtent b="0" l="0" r="0" t="0"/>
            <wp:docPr id="59" name="image64.png"/>
            <a:graphic>
              <a:graphicData uri="http://schemas.openxmlformats.org/drawingml/2006/picture">
                <pic:pic>
                  <pic:nvPicPr>
                    <pic:cNvPr id="0" name="image64.png"/>
                    <pic:cNvPicPr preferRelativeResize="0"/>
                  </pic:nvPicPr>
                  <pic:blipFill>
                    <a:blip r:embed="rId68"/>
                    <a:srcRect b="0" l="0" r="0" t="0"/>
                    <a:stretch>
                      <a:fillRect/>
                    </a:stretch>
                  </pic:blipFill>
                  <pic:spPr>
                    <a:xfrm>
                      <a:off x="0" y="0"/>
                      <a:ext cx="2286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нейтральному та слабо лужному середовищі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9100" cy="228600"/>
            <wp:effectExtent b="0" l="0" r="0" t="0"/>
            <wp:docPr id="75" name="image61.png"/>
            <a:graphic>
              <a:graphicData uri="http://schemas.openxmlformats.org/drawingml/2006/picture">
                <pic:pic>
                  <pic:nvPicPr>
                    <pic:cNvPr id="0" name="image61.png"/>
                    <pic:cNvPicPr preferRelativeResize="0"/>
                  </pic:nvPicPr>
                  <pic:blipFill>
                    <a:blip r:embed="rId69"/>
                    <a:srcRect b="0" l="0" r="0" t="0"/>
                    <a:stretch>
                      <a:fillRect/>
                    </a:stretch>
                  </pic:blipFill>
                  <pic:spPr>
                    <a:xfrm>
                      <a:off x="0" y="0"/>
                      <a:ext cx="419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відновлюється до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03200"/>
            <wp:effectExtent b="0" l="0" r="0" t="0"/>
            <wp:docPr id="73" name="image57.png"/>
            <a:graphic>
              <a:graphicData uri="http://schemas.openxmlformats.org/drawingml/2006/picture">
                <pic:pic>
                  <pic:nvPicPr>
                    <pic:cNvPr id="0" name="image57.png"/>
                    <pic:cNvPicPr preferRelativeResize="0"/>
                  </pic:nvPicPr>
                  <pic:blipFill>
                    <a:blip r:embed="rId70"/>
                    <a:srcRect b="0" l="0" r="0" t="0"/>
                    <a:stretch>
                      <a:fillRect/>
                    </a:stretch>
                  </pic:blipFill>
                  <pic:spPr>
                    <a:xfrm>
                      <a:off x="0" y="0"/>
                      <a:ext cx="3556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413000" cy="228600"/>
            <wp:effectExtent b="0" l="0" r="0" t="0"/>
            <wp:docPr id="71" name="image77.png"/>
            <a:graphic>
              <a:graphicData uri="http://schemas.openxmlformats.org/drawingml/2006/picture">
                <pic:pic>
                  <pic:nvPicPr>
                    <pic:cNvPr id="0" name="image77.png"/>
                    <pic:cNvPicPr preferRelativeResize="0"/>
                  </pic:nvPicPr>
                  <pic:blipFill>
                    <a:blip r:embed="rId71"/>
                    <a:srcRect b="0" l="0" r="0" t="0"/>
                    <a:stretch>
                      <a:fillRect/>
                    </a:stretch>
                  </pic:blipFill>
                  <pic:spPr>
                    <a:xfrm>
                      <a:off x="0" y="0"/>
                      <a:ext cx="2413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Під час титрування перманганатом, як правило, не застосовують індикатори, так як сам реагент є дуже чутливим індикатором: 0,1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0,01н розчину калій перманганату забарвлює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в блідо-рожевий колір.</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Приготування приблизно 0,1н розчину калій перманганату</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Калій перманганат не володіє властивостями вихідної речовини: сіль містить домішки манган (IV) оксиду; розкладається на світлі, відновлюється частинками пилу з повітря та органічними речовинами, що попадають у дистильовану стоячу воду. Тому розчин калій перманганату точно заданої концентрації не готують з точної наважки, а готують розчин приблизно заданої концентрації та встановлюють її нормальність за вихідною речовиною.</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Виходячи з кислотності та об‘єму приготовленого розчину, розрахуйте яку наважку калій перманганату треба взяти для отримання приблизно 0,1н розчину перманганату. Розраховану наважку зважують на аналітичних терезах, переносять її у склянку та розчиняють у дистильованій воді в об‘ємі, приблизно рівному половині кінцевого об‘єму розчину. Після розчинення наважки розчин переносять у мірну колбу, розбавляють до риски дистильованою водою та перемішують. Розчин зберігають у скляному посуді з темного скла, захищаючи його від пилу, доки не закінчиться окислення органічних речовин, що містяться у воді. Осад манган (IV) оксиду, що випав, відфільтровують крізь скляний фільтр або розчин над осадом обережно зливають в скляний посуд з темного скла, захищений від пилу.</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Після цього нормальну концентрацію отриманого розчину встановлюють за вихідною речовиною – оксалатною кислотою або її сіллю.</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Стандартизація розчину калій перманганату</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за оксалатною кислотою</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між оксалат-іонами та перманганат-іонами не описується рівнянням реакції, яке часто приводять у підручниках:</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+ 10CO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навіть якщо вихідні та кінцеві продукти відповідають наведеним у даному рівнянні. В дійсності реакція протікає в декілька стадій, та для того, щоб вона почалась, необхідна присутність в розчині хоча б залишків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8300" cy="203200"/>
            <wp:effectExtent b="0" l="0" r="0" t="0"/>
            <wp:docPr id="70" name="image82.png"/>
            <a:graphic>
              <a:graphicData uri="http://schemas.openxmlformats.org/drawingml/2006/picture">
                <pic:pic>
                  <pic:nvPicPr>
                    <pic:cNvPr id="0" name="image82.png"/>
                    <pic:cNvPicPr preferRelativeResize="0"/>
                  </pic:nvPicPr>
                  <pic:blipFill>
                    <a:blip r:embed="rId72"/>
                    <a:srcRect b="0" l="0" r="0" t="0"/>
                    <a:stretch>
                      <a:fillRect/>
                    </a:stretch>
                  </pic:blipFill>
                  <pic:spPr>
                    <a:xfrm>
                      <a:off x="0" y="0"/>
                      <a:ext cx="368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362200" cy="228600"/>
            <wp:effectExtent b="0" l="0" r="0" t="0"/>
            <wp:docPr id="68" name="image68.png"/>
            <a:graphic>
              <a:graphicData uri="http://schemas.openxmlformats.org/drawingml/2006/picture">
                <pic:pic>
                  <pic:nvPicPr>
                    <pic:cNvPr id="0" name="image68.png"/>
                    <pic:cNvPicPr preferRelativeResize="0"/>
                  </pic:nvPicPr>
                  <pic:blipFill>
                    <a:blip r:embed="rId73"/>
                    <a:srcRect b="0" l="0" r="0" t="0"/>
                    <a:stretch>
                      <a:fillRect/>
                    </a:stretch>
                  </pic:blipFill>
                  <pic:spPr>
                    <a:xfrm>
                      <a:off x="0" y="0"/>
                      <a:ext cx="2362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Манганат-іон, що утворився в кислотному розчині, швидко диспропорціонує. Mn (ІІІ) утворює оксалатні комплекси складу Mn(C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(3-2n)+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де n=1,2,3. Вони повільно розкладаються з утворенням Mn (ІІІ) та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Таким чином, доки в розчині не знаходиться в достатніх концентраціях Mn (ІІІ), реакція між перманганат й оксалат-іонами відбувається дуже повільно, коли ж концентрація досягає певної величини, реакція починає протікати з більшою швидкістю.</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Оскільки реакція спочатку протікає повільно, її проводять з нагріванням, однак нагрівати треба обережно, не доводячи до кипіння, оскільки в присутності великої кількості сульфатної кислоти може відбутися розкладення оксалатної кислоти або її солі.</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Стандартизацію розчину перманганату проводять методом окремих наважок або піпетування. Для цього в колбу для титрування вносять наважку вихідної речовини, зважену на аналітичних терезах, або визначений об‘єм попередньо приготовленого розчину оксалатної кислоти або її солі з відомою концентрацією, потім приливають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розбавленої (1:4) сульфатної кислоти, розбавляють розчин дистильованою водою приблизно до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нагрівають розчин до 80-90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і титрують перманганатом, причому на початку титрування наступну краплю додають лише після того, як зовсім зникне забарвлення від попереднього. Потім, збільшуючи швидкість титрування, титрують до з‘явлення блідо-рожевого забарвлення, стійкого протягом 30 секунд.</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Феруму в солях</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Феруму перманганатометричним методом засновано на здібності калій перманганату в кислому середовищі окислювати Ферум(ІІ) до Феруму (ІІІ).</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процесу, що відбувається.</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в розчині присутні іони хлору, то одночасно відбувається відновлення  перманганат-іонів. Тому перманганат витрачається в кількості, перевищуючій ту, яка еквівалентна Феруму, що міститься в пробі. Це має місце внаслідок того, що реакція між перманганатом і ферум оксидом індуціює реакцію окислення хлору перманганатом.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 окислення хлору.</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запобігання процесу в розчин вводять іони двовалентного Мангану.</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вмісту Феруму проводять наступним чином. Наважку солі Феруму 0,4-0,5г переносять у конічну колбу місткістю 250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приливають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сульфатної кислоти (1:4), розбавляють розчин дистильованою водою приблизно до 70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титрують розчином калій перманганату до з‘явлення блідо-рожевого забарвлення.</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відсотковий вміст Феруму в солі, що аналізують.</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Мангану в рудах</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Руда, що містить Манган, переводиться в розчин за допомогою хлоридної кислоти.</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утворюється в нейтральному середовищі окислюють титруванням, розчином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реакції.</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нейтралізації розчину й осадження заважаючих елементів у вигляді гідроксидів застосовують суспензію цинк оксиду, яку додають в надлишку.</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Надлишок цинк оксиду потрібен за наступних причин:</w:t>
      </w:r>
    </w:p>
    <w:p w:rsidR="00000000" w:rsidDel="00000000" w:rsidP="00000000" w:rsidRDefault="00000000" w:rsidRPr="00000000" w14:paraId="000002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нейтралізувати надлишок кислоти, що вводять для розчинення;</w:t>
      </w:r>
    </w:p>
    <w:p w:rsidR="00000000" w:rsidDel="00000000" w:rsidP="00000000" w:rsidRDefault="00000000" w:rsidRPr="00000000" w14:paraId="000002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нейтралізувати кислоту, що утворюється в результаті реакції окислення:</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5900" cy="152400"/>
            <wp:effectExtent b="0" l="0" r="0" t="0"/>
            <wp:docPr id="66" name="image45.png"/>
            <a:graphic>
              <a:graphicData uri="http://schemas.openxmlformats.org/drawingml/2006/picture">
                <pic:pic>
                  <pic:nvPicPr>
                    <pic:cNvPr id="0" name="image45.png"/>
                    <pic:cNvPicPr preferRelativeResize="0"/>
                  </pic:nvPicPr>
                  <pic:blipFill>
                    <a:blip r:embed="rId74"/>
                    <a:srcRect b="0" l="0" r="0" t="0"/>
                    <a:stretch>
                      <a:fillRect/>
                    </a:stretch>
                  </pic:blipFill>
                  <pic:spPr>
                    <a:xfrm>
                      <a:off x="0" y="0"/>
                      <a:ext cx="2159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інакше буде йти розчинення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перешкодити адсорбції іонів мангану осадом манган гідроксиду, і за наявністю надлишку 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розчині адсорбуються переважно останні, а не 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кращої коагуляції осаду манган гідроксиду титрування проводять в гарячому розчині при великому розбавленні та сильному збовтуванні. Під час розрахунків результатів аналізу необхідно звернути увагу на те, що концентрація розчину встановлювалася в кислотному середовищі, а визначення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проводиться в слабко-кислому, майже нейтральному середовищі.</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Наважку руди 0,5г розчиняють в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хлоридної кислоти (1:1) та кип‘ятять до видалення хлору. Потім додають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нагрівають до кипіння та додають при взбовтуванні суспензію ZnO в воді. Якщо в руді присутній Ферум, він осаджується в вигляді гідроксиду на дні посуду. Під осадом ферум гідроксиду повинен залишитись невеликий надлишок цинк оксиду (шар 3 см в діаметрі).</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Потім розчин (з осадом) переносять в мірну колбу на 250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охолоджують, розбавляють до риски водою, добре перемішують, дають розчину відстоятись. Потім відбирають пробу прозорого розчину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переносять у велику конічну колбу, розбавляють водою до 500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нагрівають до кипіння, додають ще небагато суспензії цинк оксиду та титрують при сильному збовтуванні до забарвлення розчину над осадом, що відстоявся, в блідо-рожевий колір.</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вміст Мангану в руді в відсотках.</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кількості гідроген пероксиду в розчині</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Гідроген пероксид володіє одночасно властивостями окисника та відновника. Перманганатометричний метод визначення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заснований на окисленні його до вільного кисню за реакцією:</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досліджуваного розчину додають 10-15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розбавленої (1:4) сульфатної кислоти, потім розчин титрують (без нагрівання) робочим розчином перманганату до з‘явлення незникаючого рожевого забарвлення та  розраховують вміст гідроген пероксиду.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принцип лежить в основі методу окисно-відновного титрування?</w:t>
      </w:r>
    </w:p>
    <w:p w:rsidR="00000000" w:rsidDel="00000000" w:rsidP="00000000" w:rsidRDefault="00000000" w:rsidRPr="00000000" w14:paraId="000003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методи окисно-відновного титрування застосовують у хімічному аналізі? Які реакції лежать в основі цих методів?</w:t>
      </w:r>
    </w:p>
    <w:p w:rsidR="00000000" w:rsidDel="00000000" w:rsidP="00000000" w:rsidRDefault="00000000" w:rsidRPr="00000000" w14:paraId="000003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метода перманганатометрії?</w:t>
      </w:r>
    </w:p>
    <w:p w:rsidR="00000000" w:rsidDel="00000000" w:rsidP="00000000" w:rsidRDefault="00000000" w:rsidRPr="00000000" w14:paraId="000003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не потрібен індикатор під час перманганатометричних визначень?</w:t>
      </w:r>
    </w:p>
    <w:p w:rsidR="00000000" w:rsidDel="00000000" w:rsidP="00000000" w:rsidRDefault="00000000" w:rsidRPr="00000000" w14:paraId="000003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якому середовищі проводять титрування в методі перманганатометрії? Чому?</w:t>
      </w:r>
    </w:p>
    <w:p w:rsidR="00000000" w:rsidDel="00000000" w:rsidP="00000000" w:rsidRDefault="00000000" w:rsidRPr="00000000" w14:paraId="000003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в методі перманганатометрії не використовують хлоридну та нітратну кислоти для створення кислотного середовища?</w:t>
      </w:r>
    </w:p>
    <w:p w:rsidR="00000000" w:rsidDel="00000000" w:rsidP="00000000" w:rsidRDefault="00000000" w:rsidRPr="00000000" w14:paraId="000003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приготувати титрований розчин калій перманганату з точної наважки? Чому?</w:t>
      </w:r>
    </w:p>
    <w:p w:rsidR="00000000" w:rsidDel="00000000" w:rsidP="00000000" w:rsidRDefault="00000000" w:rsidRPr="00000000" w14:paraId="000003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дію чине світло на розчин калій перманганату під час збереження?</w:t>
      </w:r>
    </w:p>
    <w:p w:rsidR="00000000" w:rsidDel="00000000" w:rsidP="00000000" w:rsidRDefault="00000000" w:rsidRPr="00000000" w14:paraId="000003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титрування оксалатної кислоти розчином калій перманганату в кислотному середовищі необхідно проводити при температурі 70-80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p w:rsidR="00000000" w:rsidDel="00000000" w:rsidP="00000000" w:rsidRDefault="00000000" w:rsidRPr="00000000" w14:paraId="000003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реакції калій перманганату з сіллю Мора в кислотному середовищі.</w:t>
      </w:r>
    </w:p>
    <w:p w:rsidR="00000000" w:rsidDel="00000000" w:rsidP="00000000" w:rsidRDefault="00000000" w:rsidRPr="00000000" w14:paraId="000003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Визначте молярну масу еквіваленту окисника і відновника в реакціях: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74800" cy="457200"/>
            <wp:effectExtent b="0" l="0" r="0" t="0"/>
            <wp:docPr id="64" name="image75.png"/>
            <a:graphic>
              <a:graphicData uri="http://schemas.openxmlformats.org/drawingml/2006/picture">
                <pic:pic>
                  <pic:nvPicPr>
                    <pic:cNvPr id="0" name="image75.png"/>
                    <pic:cNvPicPr preferRelativeResize="0"/>
                  </pic:nvPicPr>
                  <pic:blipFill>
                    <a:blip r:embed="rId75"/>
                    <a:srcRect b="0" l="0" r="0" t="0"/>
                    <a:stretch>
                      <a:fillRect/>
                    </a:stretch>
                  </pic:blipFill>
                  <pic:spPr>
                    <a:xfrm>
                      <a:off x="0" y="0"/>
                      <a:ext cx="1574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Розрахуйте потенціал системи, якщо до 100мл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04800" cy="203200"/>
            <wp:effectExtent b="0" l="0" r="0" t="0"/>
            <wp:docPr id="62" name="image49.png"/>
            <a:graphic>
              <a:graphicData uri="http://schemas.openxmlformats.org/drawingml/2006/picture">
                <pic:pic>
                  <pic:nvPicPr>
                    <pic:cNvPr id="0" name="image49.png"/>
                    <pic:cNvPicPr preferRelativeResize="0"/>
                  </pic:nvPicPr>
                  <pic:blipFill>
                    <a:blip r:embed="rId76"/>
                    <a:srcRect b="0" l="0" r="0" t="0"/>
                    <a:stretch>
                      <a:fillRect/>
                    </a:stretch>
                  </pic:blipFill>
                  <pic:spPr>
                    <a:xfrm>
                      <a:off x="0" y="0"/>
                      <a:ext cx="3048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(0.1н) додали 90 мл розчину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08000" cy="215900"/>
            <wp:effectExtent b="0" l="0" r="0" t="0"/>
            <wp:docPr id="78" name="image69.png"/>
            <a:graphic>
              <a:graphicData uri="http://schemas.openxmlformats.org/drawingml/2006/picture">
                <pic:pic>
                  <pic:nvPicPr>
                    <pic:cNvPr id="0" name="image69.png"/>
                    <pic:cNvPicPr preferRelativeResize="0"/>
                  </pic:nvPicPr>
                  <pic:blipFill>
                    <a:blip r:embed="rId77"/>
                    <a:srcRect b="0" l="0" r="0" t="0"/>
                    <a:stretch>
                      <a:fillRect/>
                    </a:stretch>
                  </pic:blipFill>
                  <pic:spPr>
                    <a:xfrm>
                      <a:off x="0" y="0"/>
                      <a:ext cx="508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(0.1н).</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Йодометрія</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Цей метод титриметричного аналізу заснований на реакції:</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+ 2e = 3I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279400"/>
            <wp:effectExtent b="0" l="0" r="0" t="0"/>
            <wp:docPr id="31" name="image31.png"/>
            <a:graphic>
              <a:graphicData uri="http://schemas.openxmlformats.org/drawingml/2006/picture">
                <pic:pic>
                  <pic:nvPicPr>
                    <pic:cNvPr id="0" name="image31.png"/>
                    <pic:cNvPicPr preferRelativeResize="0"/>
                  </pic:nvPicPr>
                  <pic:blipFill>
                    <a:blip r:embed="rId78"/>
                    <a:srcRect b="0" l="0" r="0" t="0"/>
                    <a:stretch>
                      <a:fillRect/>
                    </a:stretch>
                  </pic:blipFill>
                  <pic:spPr>
                    <a:xfrm>
                      <a:off x="0" y="0"/>
                      <a:ext cx="4318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=+0,545В</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Таким чином, йод є окислювачем середньої сили, тому дану систему використовують для визначення як окисників, так і відновників.</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якості індикатору в йодометрії застосовують свіжоприготовлений 1%-ний розчин крохмалю. Під час взаємодії крохмалю з йодом відбуваються два процеси: комплексоутворення й адсорбція, в результаті яких утворюється сполука синього кольору, чутливість реакції крохмалю з йодом велика, але різко падає зі збільшенням температури. Крохмаль потрібно додавати в титрований розчин лише тоді, коли основну кількість йоду вже відтитровано, інакше спостерігається перевитрата натрій тіосульфату (титранта).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Стандартизація розчину натрій тіосульфату</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за розчином калій біхромату</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Титрувати натрій тіосульфат – один з найважливіших робочих розчинів в йодометрії – безпосередньо калій біхроматом неможливо, так як він реагує зі всіма сильними окислювачами (біхромат, перманганат, бромат і тому подібне) нестехіометрично, тому для встановлення титру тіосульфату за біхроматом застосовують метод заміщення. Спочатку використовують реакцію між біхроматом та йодидом:</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Йод, що виділяється в еквівалентній біхромату кількості, відтитровують тіосульфатом:</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протікання першої реакції необхідна порівняно висока концентрація гідроген-іонів (для підвищення потенціалу системи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великий надлишок йодиду (для зниження потенціалу системи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241300"/>
            <wp:effectExtent b="0" l="0" r="0" t="0"/>
            <wp:docPr id="29" name="image27.png"/>
            <a:graphic>
              <a:graphicData uri="http://schemas.openxmlformats.org/drawingml/2006/picture">
                <pic:pic>
                  <pic:nvPicPr>
                    <pic:cNvPr id="0" name="image27.png"/>
                    <pic:cNvPicPr preferRelativeResize="0"/>
                  </pic:nvPicPr>
                  <pic:blipFill>
                    <a:blip r:embed="rId79"/>
                    <a:srcRect b="0" l="0" r="0" t="0"/>
                    <a:stretch>
                      <a:fillRect/>
                    </a:stretch>
                  </pic:blipFill>
                  <pic:spPr>
                    <a:xfrm>
                      <a:off x="0" y="0"/>
                      <a:ext cx="482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для розчинення йодиду, що виділяється), а також потрібен деякий час, так як швидкість реакції невелика. Хоча реакція йоду з тіосульфатом протікає значно швидше, ніж реакція тіосульфату з гідроген-іонами:</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5900" cy="152400"/>
            <wp:effectExtent b="0" l="0" r="0" t="0"/>
            <wp:docPr id="41"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2159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5900" cy="152400"/>
            <wp:effectExtent b="0" l="0" r="0" t="0"/>
            <wp:docPr id="40" name="image22.png"/>
            <a:graphic>
              <a:graphicData uri="http://schemas.openxmlformats.org/drawingml/2006/picture">
                <pic:pic>
                  <pic:nvPicPr>
                    <pic:cNvPr id="0" name="image22.png"/>
                    <pic:cNvPicPr preferRelativeResize="0"/>
                  </pic:nvPicPr>
                  <pic:blipFill>
                    <a:blip r:embed="rId74"/>
                    <a:srcRect b="0" l="0" r="0" t="0"/>
                    <a:stretch>
                      <a:fillRect/>
                    </a:stretch>
                  </pic:blipFill>
                  <pic:spPr>
                    <a:xfrm>
                      <a:off x="0" y="0"/>
                      <a:ext cx="2159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Все ж таки перед титруванням йоду необхідно знизити концентрацію гідроген-іонів розбавленням.</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Оскільки калій біхромат відповідає усім вимогам, що пред‘являють до вихідних речовин, можна приготувати його розчин точної концентрації шляхом розчинення певної наважки в відповідному об‘ємі. Розраховують наважку калій біхромату, потрібну для приготування 0,05н розчину біхромату в об‘ємі 250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Наважку зважують на аналітичних терезах, переносять у мірну колбу, розчиняють у невеликій кількості дистильованої води та після закінчення розчинення доводять водою до риски та перемішують.</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Піпеткою відбирають 20-25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приготовленого розчину калій біхромату в конічну колбу, розбавляють до 40-50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дистильованою водою, потім додають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розбавленої (1:4) сульфатної кислоти та 2г сухого калій (амоній) йодиду, виваженого на технічних терезах.</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Колбу закривають годинниковим склом і залишають у темному місці на 3-5 хвилин для повного виділення йоду. Потім йод, що виділився, титрують тіосульфатом до блідо-жовтого забарвлення, додають 1-2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крохмалю та продовжують повільно титрувати під час енергійного перемішування до зникнення синього забарвлення розчину. При цьому розчин не знебарвлюється повністю, так як у ньому залишаються іони Хрому (ІІІ), які забарвлюють розчин у зеленкуватий відтінок.</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нормальну концентрацію розчину натрій тіосульфату.</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Йодометричне визначення кислот</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Йодометричне визначення кислоти в розчині засновано на реакції:</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проходить кількісно та дуже швидко. Якщо до розбавленого розчину хлоридної кислоти додати в надлишку нейтральний розчин калій йодиду та йодату, то гідроген-іони виділяють еквівалентну їм кількість вільного йоду, який відтитровують натрій тіосульфатом.</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проведення визначення до отриманого розчину кислоти додають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по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0,2н розчину калій йодату та 0,2н розчину калій йодиду та тирують натрій тіосульфатом до солом‘яно-жовтого кольору. Потім додають крохмаль і продовжують титрувати тіосульфатом до знебарвлення розчину.</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Результат виражають у грамах кислоти.</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Титриметричне йодометричне визначення Купруму в сплавах</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Сутність методу: метод заснований на відновленні Купрум (ІІ) до Купрум (І) калій йодидом та титруванні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виділився, розчином натрій тіосульфату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0,1-0,2г поміщають у конічну колбу на 250 мл, приливають 10 мл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 та розчиняють під час нагрівання; приливають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насиченого розчину сечовини (100 г у 100 мл гарячої води) для видалення нітроген оксидів. Стіни колби обливають холодною водою, розбавляють до 100 мл, відтитровують, приливають 20 мл 20%-ного свіжоприготовленого розчину КІ і титрують 0,1н розчином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у відсотках вміст Купруму.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кількості Купруму в розчині</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купруму засновано на тому, що в кислотному середовищі іони Купруму (ІІ) відновлюються йодид-іонами до одновалентних, а йодид окислюється до молекулярного. Йод, що виділився, титрують тіосульфатом у присутності крохмалю в якості індикатору.</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 солі  Купруму, що аналізують, доводять дистильованою водою до 40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 розчину сульфатної кислоти та 2г калій йодиду. Накривають колбу годинниковим склом і залишають стояти 2-3 хвилини до повного виділення йоду. Йод, що виділився, титрують тіосульфатом спочатку без індикатору до переходу темно-бурого кольору суспензії в жовтий і потім у присутності крохмалю до переходу синього кольору в тілесний.</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вміст Купруму в розчині в грамах.</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йодометрії?</w:t>
      </w:r>
    </w:p>
    <w:p w:rsidR="00000000" w:rsidDel="00000000" w:rsidP="00000000" w:rsidRDefault="00000000" w:rsidRPr="00000000" w14:paraId="000003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індикатор та робочі розчини використовують у методі йодометрії? Назвіть особливості застосування індикатора.</w:t>
      </w:r>
    </w:p>
    <w:p w:rsidR="00000000" w:rsidDel="00000000" w:rsidP="00000000" w:rsidRDefault="00000000" w:rsidRPr="00000000" w14:paraId="000003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Перерахуйте умови, які необхідно дотримувати під час йодометричних визначень?</w:t>
      </w:r>
    </w:p>
    <w:p w:rsidR="00000000" w:rsidDel="00000000" w:rsidP="00000000" w:rsidRDefault="00000000" w:rsidRPr="00000000" w14:paraId="000003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проводять визначення окисників методом йодометрії?</w:t>
      </w:r>
    </w:p>
    <w:p w:rsidR="00000000" w:rsidDel="00000000" w:rsidP="00000000" w:rsidRDefault="00000000" w:rsidRPr="00000000" w14:paraId="000003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проводять визначення відновників методом йодометрії?</w:t>
      </w:r>
    </w:p>
    <w:p w:rsidR="00000000" w:rsidDel="00000000" w:rsidP="00000000" w:rsidRDefault="00000000" w:rsidRPr="00000000" w14:paraId="000003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приготувати розчин натрій тіосульфату шляхом розчинення точної наважки? Чому?</w:t>
      </w:r>
    </w:p>
    <w:p w:rsidR="00000000" w:rsidDel="00000000" w:rsidP="00000000" w:rsidRDefault="00000000" w:rsidRPr="00000000" w14:paraId="000003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які лежать в основі кількісних визначень Купруму в мідному купоросі, Хрому в калій дихроматі, натрій сульфіду в технічному натрій сульфіді.</w:t>
      </w:r>
    </w:p>
    <w:p w:rsidR="00000000" w:rsidDel="00000000" w:rsidP="00000000" w:rsidRDefault="00000000" w:rsidRPr="00000000" w14:paraId="000003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методики застосовують у методі йодометрії? У чому суть прямого, зворотного та непрямого титрувань? Як обчислити кількісний вміст речовини в препараті за результатами зворотного титрування?</w:t>
      </w:r>
    </w:p>
    <w:p w:rsidR="00000000" w:rsidDel="00000000" w:rsidP="00000000" w:rsidRDefault="00000000" w:rsidRPr="00000000" w14:paraId="000003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йодометричним методом визначити As (ІІІ) та As (V)?</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Дихроматометрія</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дихроматометрії титрованим розчином є розчин калій дихромату. Його можна приготувати шляхом взяття точної наважки: він легко очищується перекристалізацією з водного розчину та довгий час зберігає титр незмінним. У кислотному середовищі дихромат є сильним окислювачем і застосовується для визначення відновників, сам він відновлюється до тривалентного хрому.</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+1,33B.</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Під час титрування калій дихромату застосовують окисно-відновні індикатори – дифеніламін, дифенілбензидин та інші.</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Феруму в руді</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Феруму в руді засновано на окисленні дихроматом попередньо відновленого Феруму.</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Напишіть рівняння реакції окислення Феруму (ІІ).</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проведення визначення наважку руди 0,2г кількісно переносять у конічну колбу та додають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концентрованої хлоридної кислоти. Нагрівають до повного розчинення та додають 10-15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розчин, що кипить, занурюють алюмінієвий стрижень для відновлення Феруму. Про кінець відновлення судять за знебарвленням розчину. Після цього алюмінієвий стрижень виймають та змивають водою. Потім додають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концентрованої хлоридної кислоти, 5-7 крапель індикатору та титрують розчином калій дихромату до переходу забарвлення. У випадку застосування дифеніламіну забарвлення переходить із зеленого у фіолетово-синє, у випадку фенілантранілової кислоти – зі світло-зеленого в червоно-фіолетове.</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Розраховують відсотковий вміст Феруму в руді.</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яке характеризує потенціал red-ох системи.</w:t>
      </w:r>
    </w:p>
    <w:p w:rsidR="00000000" w:rsidDel="00000000" w:rsidP="00000000" w:rsidRDefault="00000000" w:rsidRPr="00000000" w14:paraId="000003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Фактори, які впливають на величину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95300" cy="228600"/>
            <wp:effectExtent b="0" l="0" r="0" t="0"/>
            <wp:docPr id="39" name="image51.png"/>
            <a:graphic>
              <a:graphicData uri="http://schemas.openxmlformats.org/drawingml/2006/picture">
                <pic:pic>
                  <pic:nvPicPr>
                    <pic:cNvPr id="0" name="image51.png"/>
                    <pic:cNvPicPr preferRelativeResize="0"/>
                  </pic:nvPicPr>
                  <pic:blipFill>
                    <a:blip r:embed="rId80"/>
                    <a:srcRect b="0" l="0" r="0" t="0"/>
                    <a:stretch>
                      <a:fillRect/>
                    </a:stretch>
                  </pic:blipFill>
                  <pic:spPr>
                    <a:xfrm>
                      <a:off x="0" y="0"/>
                      <a:ext cx="495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Напрямок red-ох реакцій.</w:t>
      </w:r>
    </w:p>
    <w:p w:rsidR="00000000" w:rsidDel="00000000" w:rsidP="00000000" w:rsidRDefault="00000000" w:rsidRPr="00000000" w14:paraId="000003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Визначте, які речовини будуть вихідними, а які – продуктами для системи:</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17600" cy="279400"/>
            <wp:effectExtent b="0" l="0" r="0" t="0"/>
            <wp:docPr id="38"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11176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57300" cy="279400"/>
            <wp:effectExtent b="0" l="0" r="0" t="0"/>
            <wp:docPr id="37" name="image52.png"/>
            <a:graphic>
              <a:graphicData uri="http://schemas.openxmlformats.org/drawingml/2006/picture">
                <pic:pic>
                  <pic:nvPicPr>
                    <pic:cNvPr id="0" name="image52.png"/>
                    <pic:cNvPicPr preferRelativeResize="0"/>
                  </pic:nvPicPr>
                  <pic:blipFill>
                    <a:blip r:embed="rId82"/>
                    <a:srcRect b="0" l="0" r="0" t="0"/>
                    <a:stretch>
                      <a:fillRect/>
                    </a:stretch>
                  </pic:blipFill>
                  <pic:spPr>
                    <a:xfrm>
                      <a:off x="0" y="0"/>
                      <a:ext cx="12573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30300" cy="254000"/>
            <wp:effectExtent b="0" l="0" r="0" t="0"/>
            <wp:docPr id="36" name="image39.png"/>
            <a:graphic>
              <a:graphicData uri="http://schemas.openxmlformats.org/drawingml/2006/picture">
                <pic:pic>
                  <pic:nvPicPr>
                    <pic:cNvPr id="0" name="image39.png"/>
                    <pic:cNvPicPr preferRelativeResize="0"/>
                  </pic:nvPicPr>
                  <pic:blipFill>
                    <a:blip r:embed="rId83"/>
                    <a:srcRect b="0" l="0" r="0" t="0"/>
                    <a:stretch>
                      <a:fillRect/>
                    </a:stretch>
                  </pic:blipFill>
                  <pic:spPr>
                    <a:xfrm>
                      <a:off x="0" y="0"/>
                      <a:ext cx="11303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90600" cy="254000"/>
            <wp:effectExtent b="0" l="0" r="0" t="0"/>
            <wp:docPr id="35" name="image47.png"/>
            <a:graphic>
              <a:graphicData uri="http://schemas.openxmlformats.org/drawingml/2006/picture">
                <pic:pic>
                  <pic:nvPicPr>
                    <pic:cNvPr id="0" name="image47.png"/>
                    <pic:cNvPicPr preferRelativeResize="0"/>
                  </pic:nvPicPr>
                  <pic:blipFill>
                    <a:blip r:embed="rId84"/>
                    <a:srcRect b="0" l="0" r="0" t="0"/>
                    <a:stretch>
                      <a:fillRect/>
                    </a:stretch>
                  </pic:blipFill>
                  <pic:spPr>
                    <a:xfrm>
                      <a:off x="0" y="0"/>
                      <a:ext cx="990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Способи підвищення швидкості реакцій.</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Який red-ох метод є безіндикаторний?</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Чи можна визначити Ферум (ІІ) титруванням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58800" cy="228600"/>
            <wp:effectExtent b="0" l="0" r="0" t="0"/>
            <wp:docPr id="33"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5588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індикатором фенілантраніловою кислотою?</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Поясніть, що таке титрувальна частка f.</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Методи осаджувального титрування</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Аргентометрія</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 осаджувального титрування об‘єднують об‘ємно-аналітичні визначення, засновані на реакціях осадження. Найбільш часто в методі осадження використовують реакції утворення практично нерозчинних солей Аргентуму.</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Основним реактивом у цьому випадку є титрований розчин аргентум нітрату, а визначення за цим методом носить назву аргентометрії.</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встановлення точки еквівалентності аргентометрії застосовують як безіндикаторне титрування, так і титрування з індикаторами: калій хроматом, залізо-аміачними квасцями або адсорбційними індикаторами. </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якості вихідної речовини для стандартизації робочого розчину аргентум нітрату застосовують хімічно чистий натрій хлорид.</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хлоридів за методом Мора</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цьому методі в якості індикатора застосовують розчин калій хромату. Застосування його засновано на тому, що хромат - іони реагують з аргентум - іонами з утворенням осаду цегляно – червоного кольору. В певних умовах цей осад починає виділятися лише після того, як хлорид-іони, що визначають, будуть практично зовсім осаджені у вигляді аргентум хлориду. Титрування проводять у нейтральному або слабколужному розчинах, так як при рН &lt; 7 чутливість індикатору різко знижується за рахунок реакції:</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5900" cy="152400"/>
            <wp:effectExtent b="0" l="0" r="0" t="0"/>
            <wp:docPr id="125" name="image95.png"/>
            <a:graphic>
              <a:graphicData uri="http://schemas.openxmlformats.org/drawingml/2006/picture">
                <pic:pic>
                  <pic:nvPicPr>
                    <pic:cNvPr id="0" name="image95.png"/>
                    <pic:cNvPicPr preferRelativeResize="0"/>
                  </pic:nvPicPr>
                  <pic:blipFill>
                    <a:blip r:embed="rId74"/>
                    <a:srcRect b="0" l="0" r="0" t="0"/>
                    <a:stretch>
                      <a:fillRect/>
                    </a:stretch>
                  </pic:blipFill>
                  <pic:spPr>
                    <a:xfrm>
                      <a:off x="0" y="0"/>
                      <a:ext cx="2159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44500" cy="266700"/>
            <wp:effectExtent b="0" l="0" r="0" t="0"/>
            <wp:docPr id="126" name="image113.png"/>
            <a:graphic>
              <a:graphicData uri="http://schemas.openxmlformats.org/drawingml/2006/picture">
                <pic:pic>
                  <pic:nvPicPr>
                    <pic:cNvPr id="0" name="image113.png"/>
                    <pic:cNvPicPr preferRelativeResize="0"/>
                  </pic:nvPicPr>
                  <pic:blipFill>
                    <a:blip r:embed="rId86"/>
                    <a:srcRect b="0" l="0" r="0" t="0"/>
                    <a:stretch>
                      <a:fillRect/>
                    </a:stretch>
                  </pic:blipFill>
                  <pic:spPr>
                    <a:xfrm>
                      <a:off x="0" y="0"/>
                      <a:ext cx="4445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лужних розчинах титрувати не можна із-за утворення осаду аргентум гідроксиду.</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проведення визначення в колбу для титрування поміщають за допомогою піпетки певний об‘єм досліджуваного розчину хлориду, додають 10 крапель розчину калій хромату та повільно, при доброму перемішуванні, титрують розчином аргентум нітрату до тих пір, доки не з‘явиться перше незникаюче забарвлення кольору суспензії. Титрування проводять три рази та розраховують вміст хлоридів.</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ґрунтується метод осадження?</w:t>
      </w:r>
    </w:p>
    <w:p w:rsidR="00000000" w:rsidDel="00000000" w:rsidP="00000000" w:rsidRDefault="00000000" w:rsidRPr="00000000" w14:paraId="000003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робочі розчини методу аргентометрії. Як їх готують?</w:t>
      </w:r>
    </w:p>
    <w:p w:rsidR="00000000" w:rsidDel="00000000" w:rsidP="00000000" w:rsidRDefault="00000000" w:rsidRPr="00000000" w14:paraId="000003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індикатори використовують у методах осадження?</w:t>
      </w:r>
    </w:p>
    <w:p w:rsidR="00000000" w:rsidDel="00000000" w:rsidP="00000000" w:rsidRDefault="00000000" w:rsidRPr="00000000" w14:paraId="000003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речовини є вихідними в методі аргентометрії?</w:t>
      </w:r>
    </w:p>
    <w:p w:rsidR="00000000" w:rsidDel="00000000" w:rsidP="00000000" w:rsidRDefault="00000000" w:rsidRPr="00000000" w14:paraId="000003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якій послідовності утворюватимуться осади галогенідів під час аргентометричного визначення галогенід-іонів?</w:t>
      </w:r>
    </w:p>
    <w:p w:rsidR="00000000" w:rsidDel="00000000" w:rsidP="00000000" w:rsidRDefault="00000000" w:rsidRPr="00000000" w14:paraId="000003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використовуються у методі Мора?</w:t>
      </w:r>
    </w:p>
    <w:p w:rsidR="00000000" w:rsidDel="00000000" w:rsidP="00000000" w:rsidRDefault="00000000" w:rsidRPr="00000000" w14:paraId="000003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суть методу Фольгарда?</w:t>
      </w:r>
    </w:p>
    <w:p w:rsidR="00000000" w:rsidDel="00000000" w:rsidP="00000000" w:rsidRDefault="00000000" w:rsidRPr="00000000" w14:paraId="000003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Перелічте робочі розчини метода Фольгарда.</w:t>
      </w:r>
    </w:p>
    <w:p w:rsidR="00000000" w:rsidDel="00000000" w:rsidP="00000000" w:rsidRDefault="00000000" w:rsidRPr="00000000" w14:paraId="000003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визначенні хлоридів за методом Фольгарда до досліджуваного розчину додали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0,0987М розчину аргентум нітрату. На титрування надлишку катіонів Аргентуму витратили 12,54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0,1036М розчину амоній тіоціанату. Визначте вміст хлорид-іонів в аналізованому розчині.</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Комплексонометрія (хелатометрія)</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Комплексони з іонами багатьох металів утворюють розчинні у воді комплекси. Титриметричний метод аналізу, в якому в якості робочих розчинів використовують комплексони, називається комплексонометрією. Частіше в якості титрантів використовують етілендиамінтетраацетатну кислоту та її динатрієву сіль. В залежності від рН в розчині існують різні форми ЕДТА. При утворенні комплексів виникають п‘ятичленні цикли: іон металу – атоми Нітрогену-атоми Оксигену іонізованих або протонованих карбоксильних груп. Число циклів залежить від координаційного числа центрального іону та може дорівнювати трьом (комплексонати Кальцію та Магнію); чотирьом (комплексонати Ніколу), п‘яти (комплексонати Кобальту) та інші:</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098800" cy="1295400"/>
            <wp:effectExtent b="0" l="0" r="0" t="0"/>
            <wp:docPr id="123" name="image101.png"/>
            <a:graphic>
              <a:graphicData uri="http://schemas.openxmlformats.org/drawingml/2006/picture">
                <pic:pic>
                  <pic:nvPicPr>
                    <pic:cNvPr id="0" name="image101.png"/>
                    <pic:cNvPicPr preferRelativeResize="0"/>
                  </pic:nvPicPr>
                  <pic:blipFill>
                    <a:blip r:embed="rId87"/>
                    <a:srcRect b="0" l="0" r="0" t="0"/>
                    <a:stretch>
                      <a:fillRect/>
                    </a:stretch>
                  </pic:blipFill>
                  <pic:spPr>
                    <a:xfrm>
                      <a:off x="0" y="0"/>
                      <a:ext cx="30988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Різне число циклів у комплексонатах металів є причиною різної стійкості цих комплексів.</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всіх випадках (виключення складають Молібден і Вольфрам п‘ятивалентні) утворюються сполуки зі співвідношенням компонентів 1:1.</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Точку еквівалентності в комплексонометрії встановлюють за допомогою метал-індикаторів – сполук, що утворюють з іонами металів комплекси, які поступаються за стійкістю комплексонатам цих металів і відрізняються за кольором від самих індикаторів:</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MeInd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HInd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забарвл.1     безкольор. безкольор.   забарвл.2</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Так як іони металів, за невеликим виключенням, взаємодіють з комплексоном ІІІ (трилоном Б) в молярному співвідношенні 1:1, під час розрахунку результатів аналізу зручніше використати молярну концентрацію комплексону ІІІ й еквівалентну масу визначаючого іону приймати рівною молекулярній масі.</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Комплексонометричним методом можна визначити більшість відомих елементів, а регулюючи кислотність, підбираючи відповідні індикатори та маскуючі речовини, можна аналізувати складні суміші.</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Встановлення концентрації трилону Б за магній сульфатом</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встановлення концентрації приблизно приготовленого розчину трилону Б в якості вихідної речовини використовують фіксанали магній сульфату або очищений препарат магній сульфату.</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Титрування проводять у лужному середовищі, створеному аміачним буферним розчином. В якості індикатора використовують металохромний індикатор еріохром чорний Т.</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Зі солями лужно-земельних металів і Магнію цей індикатор утворює комплексні сполуки, забарвленні в винно-червоний колір. За міцністю комплекси іонів металів з індикатором поступаються безкольоровим трилонатам вказаних металів, тому під час титрування трилон Б витісняє іони металу з комплексу з індикатором, утворюючи трилонати. В точці еквівалентності, коли метали повністю зв‘язуються в трилонат, забарвлення розчину різко змінюється, дістаючи синій колір, властивий забарвленню лужного розчину еріохрому чорного Т.</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магній сульфату 0,15-0,20 г розчиняють приблизно в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або відбирають піпеткою 10-20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приготовленого з фіксаналу розчину магній сульфату, додають 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буферного розчину (для приготування буферного розчину змішують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 розчину амоній хлориду і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 розчину амоніаку та розбавляють дистильованою водою до 1 л). Додають “на кінчику ножа” сухий індикатор, змішаний з натрій хлоридом в співвідношенні 1:100, потім титрують робочим розчином трилону Б до зміни забарвлення в синє. Титрування проводять повільно, добре перемішуючи розчин.</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Титриметричне визначення загальної твердості води</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Твердість води зумовлена вмістом гідрогенкарбонатних, хлоридних та гідрогенсульфатних солей Магнію та Кальцію та виражається числом міліграм-еквівалентів цих солей у літрі води. Для визначення загальної твердості піпеткою поміщають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досліджуваної води у конічну колбу, приливають 5 мл аміачної буферної суміші та додають по краплям розчин індикатору (хромогену чорного до появи добре видимого, але не занадто темного, винно-червоного забарвлення).</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Титрують аналізовану воду розчином трилону-Б до перехіду винно-червоного забарвлення у синє.</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Титрування повторюють 3 рази, знаходять середнє значення об’єму комплексона, витраченого на титрування.</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Загальну жорсткість води розраховують за формулою:</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55700" cy="393700"/>
            <wp:effectExtent b="0" l="0" r="0" t="0"/>
            <wp:docPr id="124" name="image103.png"/>
            <a:graphic>
              <a:graphicData uri="http://schemas.openxmlformats.org/drawingml/2006/picture">
                <pic:pic>
                  <pic:nvPicPr>
                    <pic:cNvPr id="0" name="image103.png"/>
                    <pic:cNvPicPr preferRelativeResize="0"/>
                  </pic:nvPicPr>
                  <pic:blipFill>
                    <a:blip r:embed="rId88"/>
                    <a:srcRect b="0" l="0" r="0" t="0"/>
                    <a:stretch>
                      <a:fillRect/>
                    </a:stretch>
                  </pic:blipFill>
                  <pic:spPr>
                    <a:xfrm>
                      <a:off x="0" y="0"/>
                      <a:ext cx="1155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15900"/>
            <wp:effectExtent b="0" l="0" r="0" t="0"/>
            <wp:docPr id="12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286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нормальність розчину комплексона (ІІІ)</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22" name="image104.png"/>
            <a:graphic>
              <a:graphicData uri="http://schemas.openxmlformats.org/drawingml/2006/picture">
                <pic:pic>
                  <pic:nvPicPr>
                    <pic:cNvPr id="0" name="image104.png"/>
                    <pic:cNvPicPr preferRelativeResize="0"/>
                  </pic:nvPicPr>
                  <pic:blipFill>
                    <a:blip r:embed="rId89"/>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розчину комплексона, витраченого на титрування,</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9700" cy="165100"/>
            <wp:effectExtent b="0" l="0" r="0" t="0"/>
            <wp:docPr id="117" name="image109.png"/>
            <a:graphic>
              <a:graphicData uri="http://schemas.openxmlformats.org/drawingml/2006/picture">
                <pic:pic>
                  <pic:nvPicPr>
                    <pic:cNvPr id="0" name="image109.png"/>
                    <pic:cNvPicPr preferRelativeResize="0"/>
                  </pic:nvPicPr>
                  <pic:blipFill>
                    <a:blip r:embed="rId90"/>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води, взятий для визначення.</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Комплексонометричне визначення Феруму</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Ферум (ІІ) титрують при рН=2. В якості індикатору використовують сульфосаліцилову кислоту або її натрієву сіль. За допомогою універсального індикаторного паперу перевіряють рН в аналізованому розчині та, якщо необхідно, доводять його значення до 2-3, додають приблизно 0,1 г сульфосаліцилової кислоти у твердому вигляді та титрують трилоном Б до змінення червоно-коричневого забарвлення в жовте. За кількістю трилону Б, що витратили на титрування, розраховують вміст Феруму.</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Комплексонометричне визначення</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Кальцію та Магнію в суміші</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Визначення Кальцію.</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Аналізований розчин розбавляють водою приблизно до 100см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потім до розчину додають мурексид, приливають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1н розчину натрій гідроксиду та відразу титрують трилоном Б до переходу червоного забарвлення у фіолетове. Титрування слід починати як можна швидше після додавання лугу, щоб запобігти випаданню осаду кальцій карбонату.</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Визначення Кільцію та Магнію (суми).</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другої частини розчину додають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буферного розчину (рН≈9-10), еріохрому чорного Т та титрують суму Кальцію та Магнію трилоном Б до переходу червоного забарвлення в синє. З останньою краплею титранту повинен зникнути червонуватий відтінок забарвлення індикатору.</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Титрування повторюють три рази та беруть середнє значення. Вміст Кальцію та Магнію в 100мл розчину знаходять за формулою:</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41500" cy="431800"/>
            <wp:effectExtent b="0" l="0" r="0" t="0"/>
            <wp:docPr id="119" name="image102.png"/>
            <a:graphic>
              <a:graphicData uri="http://schemas.openxmlformats.org/drawingml/2006/picture">
                <pic:pic>
                  <pic:nvPicPr>
                    <pic:cNvPr id="0" name="image102.png"/>
                    <pic:cNvPicPr preferRelativeResize="0"/>
                  </pic:nvPicPr>
                  <pic:blipFill>
                    <a:blip r:embed="rId91"/>
                    <a:srcRect b="0" l="0" r="0" t="0"/>
                    <a:stretch>
                      <a:fillRect/>
                    </a:stretch>
                  </pic:blipFill>
                  <pic:spPr>
                    <a:xfrm>
                      <a:off x="0" y="0"/>
                      <a:ext cx="18415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15900"/>
            <wp:effectExtent b="0" l="0" r="0" t="0"/>
            <wp:docPr id="11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286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165100"/>
            <wp:effectExtent b="0" l="0" r="0" t="0"/>
            <wp:docPr id="115" name="image90.png"/>
            <a:graphic>
              <a:graphicData uri="http://schemas.openxmlformats.org/drawingml/2006/picture">
                <pic:pic>
                  <pic:nvPicPr>
                    <pic:cNvPr id="0" name="image90.png"/>
                    <pic:cNvPicPr preferRelativeResize="0"/>
                  </pic:nvPicPr>
                  <pic:blipFill>
                    <a:blip r:embed="rId92"/>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нормальна концентрація і об’єм розчину трилону Б, витрачений на титрування;</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15900"/>
            <wp:effectExtent b="0" l="0" r="0" t="0"/>
            <wp:docPr id="106" name="image85.png"/>
            <a:graphic>
              <a:graphicData uri="http://schemas.openxmlformats.org/drawingml/2006/picture">
                <pic:pic>
                  <pic:nvPicPr>
                    <pic:cNvPr id="0" name="image85.png"/>
                    <pic:cNvPicPr preferRelativeResize="0"/>
                  </pic:nvPicPr>
                  <pic:blipFill>
                    <a:blip r:embed="rId93"/>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аналізованого розчину (мл).</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Результати першого визначення використовують для розрахунку кількості Кальцію у розчині. Кількість Магнію визначають за різницею титрування суми Кальцію та Магнію в присутності еріохрому чорного Т та титрування Кальцію в присутності мурексиду: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81200" cy="228600"/>
            <wp:effectExtent b="0" l="0" r="0" t="0"/>
            <wp:docPr id="104" name="image108.png"/>
            <a:graphic>
              <a:graphicData uri="http://schemas.openxmlformats.org/drawingml/2006/picture">
                <pic:pic>
                  <pic:nvPicPr>
                    <pic:cNvPr id="0" name="image108.png"/>
                    <pic:cNvPicPr preferRelativeResize="0"/>
                  </pic:nvPicPr>
                  <pic:blipFill>
                    <a:blip r:embed="rId94"/>
                    <a:srcRect b="0" l="0" r="0" t="0"/>
                    <a:stretch>
                      <a:fillRect/>
                    </a:stretch>
                  </pic:blipFill>
                  <pic:spPr>
                    <a:xfrm>
                      <a:off x="0" y="0"/>
                      <a:ext cx="1981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Кальцію та Магнію комплексонометричним методом використовується під час аналізу різноманітних матеріалів, наприклад: вапняку; доломіту; магнезиту; порід з вапняку та силікату; грунтів; цементу; морської води; стічної води розробок вугілля; звичайних і спеціальних мінеральних вод; фармацевтичних препаратів; консервованих фруктових соків; молока; рослинних матеріалів.</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реакція лежить в основі методу комплексонометрії? Який робочий розчин використовують у цьому методі?</w:t>
      </w:r>
    </w:p>
    <w:p w:rsidR="00000000" w:rsidDel="00000000" w:rsidP="00000000" w:rsidRDefault="00000000" w:rsidRPr="00000000" w14:paraId="000003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яких іонів можна застосувати трилон Б?</w:t>
      </w:r>
    </w:p>
    <w:p w:rsidR="00000000" w:rsidDel="00000000" w:rsidP="00000000" w:rsidRDefault="00000000" w:rsidRPr="00000000" w14:paraId="000003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індикатори використовують у методі комплексонометрії?</w:t>
      </w:r>
    </w:p>
    <w:p w:rsidR="00000000" w:rsidDel="00000000" w:rsidP="00000000" w:rsidRDefault="00000000" w:rsidRPr="00000000" w14:paraId="000003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титрування в методі комплексономертії проводять у присутності буферної суміші?</w:t>
      </w:r>
    </w:p>
    <w:p w:rsidR="00000000" w:rsidDel="00000000" w:rsidP="00000000" w:rsidRDefault="00000000" w:rsidRPr="00000000" w14:paraId="000003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методи титрування застосовують в комплексонометрії?</w:t>
      </w:r>
    </w:p>
    <w:p w:rsidR="00000000" w:rsidDel="00000000" w:rsidP="00000000" w:rsidRDefault="00000000" w:rsidRPr="00000000" w14:paraId="000003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середовищі проводять комплексонометричне визначення?</w:t>
      </w:r>
    </w:p>
    <w:p w:rsidR="00000000" w:rsidDel="00000000" w:rsidP="00000000" w:rsidRDefault="00000000" w:rsidRPr="00000000" w14:paraId="000003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Опишіть методики комплексонометричного визначення загальної твердості води.</w:t>
      </w:r>
    </w:p>
    <w:p w:rsidR="00000000" w:rsidDel="00000000" w:rsidP="00000000" w:rsidRDefault="00000000" w:rsidRPr="00000000" w14:paraId="000003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структурну формулу комплексонату кальцію.</w:t>
      </w:r>
    </w:p>
    <w:p w:rsidR="00000000" w:rsidDel="00000000" w:rsidP="00000000" w:rsidRDefault="00000000" w:rsidRPr="00000000" w14:paraId="000003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інтервал переходу забарвлення металоіндикатора?</w:t>
      </w:r>
    </w:p>
    <w:p w:rsidR="00000000" w:rsidDel="00000000" w:rsidP="00000000" w:rsidRDefault="00000000" w:rsidRPr="00000000" w14:paraId="000003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Визначте загальну твердість води, якщо на титрування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водопровідної води витрачено 5,6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трилону Б з концентрацією 0,05моль/дм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Розвели 1.000мл розчину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04800" cy="203200"/>
            <wp:effectExtent b="0" l="0" r="0" t="0"/>
            <wp:docPr id="105" name="image86.png"/>
            <a:graphic>
              <a:graphicData uri="http://schemas.openxmlformats.org/drawingml/2006/picture">
                <pic:pic>
                  <pic:nvPicPr>
                    <pic:cNvPr id="0" name="image86.png"/>
                    <pic:cNvPicPr preferRelativeResize="0"/>
                  </pic:nvPicPr>
                  <pic:blipFill>
                    <a:blip r:embed="rId95"/>
                    <a:srcRect b="0" l="0" r="0" t="0"/>
                    <a:stretch>
                      <a:fillRect/>
                    </a:stretch>
                  </pic:blipFill>
                  <pic:spPr>
                    <a:xfrm>
                      <a:off x="0" y="0"/>
                      <a:ext cx="3048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водою та аміачним буферним розчином, додали 15.00 мл 0,01М розчину ЕДТА, надлишок якого відтитрували 0,0250М стандартним розчином МgCl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На титрування витрачено 4,37 мл останнього. Розрахуйте вихідну концентрацію солі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04800" cy="203200"/>
            <wp:effectExtent b="0" l="0" r="0" t="0"/>
            <wp:docPr id="102" name="image86.png"/>
            <a:graphic>
              <a:graphicData uri="http://schemas.openxmlformats.org/drawingml/2006/picture">
                <pic:pic>
                  <pic:nvPicPr>
                    <pic:cNvPr id="0" name="image86.png"/>
                    <pic:cNvPicPr preferRelativeResize="0"/>
                  </pic:nvPicPr>
                  <pic:blipFill>
                    <a:blip r:embed="rId95"/>
                    <a:srcRect b="0" l="0" r="0" t="0"/>
                    <a:stretch>
                      <a:fillRect/>
                    </a:stretch>
                  </pic:blipFill>
                  <pic:spPr>
                    <a:xfrm>
                      <a:off x="0" y="0"/>
                      <a:ext cx="304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Фізико-хімічні методи аналізу</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сучасному часі широко застосовуються різні методи кількісного аналізу, які звичайно поділяються на наступні групи:</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спектральні, оптичні</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електрохімічні</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хроматографічні</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радіометричні</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мас-спектральні</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Спектральні (оптичні) методи аналізу</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Ці методи засновані на вимірюванні оптичних показників аналізованих речовин, на вивченні взаємодії електромагнітного випромінювання з атомами або молекулами речовини, що супроводжується випромінюванням, поглинанням або відображенням променевої енергії.</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Одним з найбільш простих методів оптичного аналізу є колориметрія. Метод заснований на вимірі поглинання світла забарвленими розчинами у видимій частині спектру.</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Кількісне визначення методом фотоколориметрії</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Варіант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Фотоколориметричне визначення Феруму(ІІІ).</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Прилади та реактиви:</w:t>
        <w:tab/>
        <w:t xml:space="preserve">фотоелектроколориметр, мірні колби (1000 та 50мл), піпетки, залізоамонійні квасці.</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Розчини: амоній або калій роданіду (10%), аналізований розчин Феруму (ІІІ), сульфатної кислоти (конц.), нітратної кислоти (конц.).</w:t>
      </w:r>
    </w:p>
    <w:p w:rsidR="00000000" w:rsidDel="00000000" w:rsidP="00000000" w:rsidRDefault="00000000" w:rsidRPr="00000000" w14:paraId="000003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стандартного розчину.</w:t>
      </w:r>
    </w:p>
    <w:p w:rsidR="00000000" w:rsidDel="00000000" w:rsidP="00000000" w:rsidRDefault="00000000" w:rsidRPr="00000000" w14:paraId="000003C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0,864г (х.ч.) залізоамонійних квасців поміщають у мірну колбу на 1л, підкислюють 5мл сульфатної кислоти (ρ=1,84г/см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доводять об’єм розчину водою до риски. Цей розчин містить 0.1 мг Феруму в 1мл.</w:t>
      </w:r>
    </w:p>
    <w:p w:rsidR="00000000" w:rsidDel="00000000" w:rsidP="00000000" w:rsidRDefault="00000000" w:rsidRPr="00000000" w14:paraId="000003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Побудова калібрувальної кривої.</w:t>
      </w:r>
    </w:p>
    <w:p w:rsidR="00000000" w:rsidDel="00000000" w:rsidP="00000000" w:rsidRDefault="00000000" w:rsidRPr="00000000" w14:paraId="000003D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мірну колбу на 50мл послідовно вливають (використовуючи піпетку) 0.5;1.0;2.0;3.0;4.0;5.0 мл стандартного розчину солі Феруму, додають у кожну пробірку по 1мл розведеної (1:1) нітратної кислоти та по 5 мл 10% розчину амоній роданіду (або калій роданіду).</w:t>
      </w:r>
    </w:p>
    <w:p w:rsidR="00000000" w:rsidDel="00000000" w:rsidP="00000000" w:rsidRDefault="00000000" w:rsidRPr="00000000" w14:paraId="000003D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всіх колбах об’єм розчинів доводять до риски, добре перемішують та вимірюють оптичну щільність за допомогою фотоколориметра, користуючись синім світлофільтром при довжині хвилі 400-450нм, у кюветах з товщиною шару 1 або 0.5 см.                                                                                                 </w:t>
        <w:tab/>
        <w:t xml:space="preserve">Розчин для побудови калібрувального графіка готують безпосередньо перед колориметруванням, так як забарвлення розчинів нестійке.</w:t>
      </w:r>
    </w:p>
    <w:p w:rsidR="00000000" w:rsidDel="00000000" w:rsidP="00000000" w:rsidRDefault="00000000" w:rsidRPr="00000000" w14:paraId="000003D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Оптичну щільність кожного розчину вимірюють 3 рази та розраховують середнє значення.</w:t>
      </w:r>
    </w:p>
    <w:p w:rsidR="00000000" w:rsidDel="00000000" w:rsidP="00000000" w:rsidRDefault="00000000" w:rsidRPr="00000000" w14:paraId="000003D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ними будують графічну залежність оптичної щільності (вісь ординат) від концентрації іонів Феруму.</w:t>
      </w:r>
    </w:p>
    <w:p w:rsidR="00000000" w:rsidDel="00000000" w:rsidP="00000000" w:rsidRDefault="00000000" w:rsidRPr="00000000" w14:paraId="000003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іонів Феруму (ІІІ).</w:t>
      </w:r>
    </w:p>
    <w:p w:rsidR="00000000" w:rsidDel="00000000" w:rsidP="00000000" w:rsidRDefault="00000000" w:rsidRPr="00000000" w14:paraId="000003D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розчин, що містить 0.05-0.5мг Феруму, поміщають у мірну колбу на 50мл, підкислюють 1мл розведеної (1:1) нітратною кислотою, додають 5мл 10% розчину амоній роданіду, доводять об’єм розчину водою до риски та перемішують.</w:t>
      </w:r>
    </w:p>
    <w:p w:rsidR="00000000" w:rsidDel="00000000" w:rsidP="00000000" w:rsidRDefault="00000000" w:rsidRPr="00000000" w14:paraId="000003D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Вимірюють оптичну щільність досліджуваного розчину 3 рази та розраховують середнє значення.</w:t>
      </w:r>
    </w:p>
    <w:p w:rsidR="00000000" w:rsidDel="00000000" w:rsidP="00000000" w:rsidRDefault="00000000" w:rsidRPr="00000000" w14:paraId="000003D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графіка визначають вміст Феруму в досліджуваному розчині.</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Варіант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Визначення Купруму (ІІ) в розчині.</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Прилади та реактиви:</w:t>
        <w:tab/>
        <w:t xml:space="preserve">фотоелектроколориметр, мірні колби (1000 та 50мл), піпетки, купрум (ІІ) сульфат.</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Розчини:</w:t>
        <w:tab/>
        <w:t xml:space="preserve">сульфатної кислоти (конц.), амоній гідроксиду (розвед. 1:3)</w:t>
      </w:r>
    </w:p>
    <w:p w:rsidR="00000000" w:rsidDel="00000000" w:rsidP="00000000" w:rsidRDefault="00000000" w:rsidRPr="00000000" w14:paraId="000003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10" w:right="0" w:hanging="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стандартного розчину.</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 3.927г хімічно чистого купрум сульфату CuSO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переносять у мірну колбу на 1000мл, розчиняють, приливають 5мл конц. сульфатної кислоти (ρ=1,84г/см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доводять водою до риски. В 1мл цього розчину міститься 1мг іону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10" w:right="0" w:hanging="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Побудова калібрувального графіка.</w:t>
      </w:r>
    </w:p>
    <w:p w:rsidR="00000000" w:rsidDel="00000000" w:rsidP="00000000" w:rsidRDefault="00000000" w:rsidRPr="00000000" w14:paraId="000003D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шість мірних колб ємністю 50мл вносять відповідно 25,20,15,10,5 та 3 мл стандартного розчину солі Купруму. В кожну з колб додають по 10 мл розведеного (1:3)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та доводять об’єм водою до риски.</w:t>
      </w:r>
    </w:p>
    <w:p w:rsidR="00000000" w:rsidDel="00000000" w:rsidP="00000000" w:rsidRDefault="00000000" w:rsidRPr="00000000" w14:paraId="000003E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Вимірюють оптичну щільність одержаних розчинів. Вимір починають з розчину, що має найбільшу концентрацію Купруму.</w:t>
      </w:r>
    </w:p>
    <w:p w:rsidR="00000000" w:rsidDel="00000000" w:rsidP="00000000" w:rsidRDefault="00000000" w:rsidRPr="00000000" w14:paraId="000003E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отриманими даними будують калібрувальний графік.</w:t>
      </w:r>
    </w:p>
    <w:p w:rsidR="00000000" w:rsidDel="00000000" w:rsidP="00000000" w:rsidRDefault="00000000" w:rsidRPr="00000000" w14:paraId="000003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10" w:right="0" w:hanging="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Хід визначення Купруму(ІІ).</w:t>
      </w:r>
    </w:p>
    <w:p w:rsidR="00000000" w:rsidDel="00000000" w:rsidP="00000000" w:rsidRDefault="00000000" w:rsidRPr="00000000" w14:paraId="000003E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мірну колбу на 50мл поміщають досліджуваний розчин, що містить від 0.01 до 0.5 мг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Додають у колбу 1 краплю сульфатної кислоти, нейтралізують розведеним розчином (1:3)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додаючи його по краплям до появи каламуті. Додають ще 10 мл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та доводять об’єм до риски водою.</w:t>
      </w:r>
    </w:p>
    <w:p w:rsidR="00000000" w:rsidDel="00000000" w:rsidP="00000000" w:rsidRDefault="00000000" w:rsidRPr="00000000" w14:paraId="000003E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ретельно перемішують і вимірюють оптичну щільність.</w:t>
      </w:r>
    </w:p>
    <w:p w:rsidR="00000000" w:rsidDel="00000000" w:rsidP="00000000" w:rsidRDefault="00000000" w:rsidRPr="00000000" w14:paraId="000003E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калібрувальним графіком знаходять концентрацію іонів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Що відбувається з речовиною під час поглинання електромагнітного світлового випромінювання?</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2. У чому полягає сутність закону Бугера-Ламберта-Бера?</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3. Які методи відносяться до оптичних методів аналізу? В чому їх різниця?</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4. Які пристрої використовують у фотоколориметрі та спектрофотометрії?</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5. Який принциповий пристрій фотоколориметру?</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6. Для чого будують калібрувальний графік під час фотоколориметричних визначень?</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7. Які характеристики слід враховувати для повного переведення йона, який визначають, у забарвлену сполуку?</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8. Як залежить чутливість колориметричного визначення від молярного коефіцієнта поглинання?</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9. Що таке оптична щільність розчину, і який її фізичний зміст?</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10. У чому полягає вибір світлофільтрів?</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Атомно-абсорбційний метод аналізу</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заснований на випаровуванні азотнокислого розчину мінеральної частини, одержаної після мінералізації проби харчового продукту за ГОСТом 26929-86, в графітових електротермічних атомізаторах. Метали, що знаходяться в розчині мінеральної частини, під дією високої температури печі, яка нагрівається електричним струмом, переходять в атомний стан. Величина абсорбції світла при довжині хвилі, що відповідає резонансній лінії, пропорційна значенню концентрації метала в пробі.</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Реактиви та обладнання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Реактиви: державні стандартні зразки складу розчинів іонів металів; кислота нітратна (НNОз) х.ч.</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ГОСТ 4461, концентрована та її розчини 10 % та 30 % в бідистильованій воді. </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Обладнання: спектрофотометр  атомно-абсорбційний з джерелами селективного випромінювання; колби мірні на 25, 100 та 1000 мл за ГОСТом 1770; піпетки мірні та автоматичні піпетки ємністю 0,01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0,05 мл.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проведення аналізу використовують реактиви кваліфікації "чистий для аналізу" (ч.д.а.) або "хімічно чистий" (х.ч.) та двічі дистильовану воду, одержану в скляному дистиляторі. Посуд та апаратуру промивають нітратною кислотою, розбавленою 1:1,  потім ополіскують водопровідною водою та 2-3 рази промивають дистильованою водою. Робочі розчини зберігають у закритому скляному посуді.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Новий або сильно забруднений лабораторний посуд після звичайного миття в розчині будь-якого миючого засобу промивають проточною водою та ополіскують дистильованою водою. Безпосередньо перед використанням посуд промивають нітратною кислотою, після цього  3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 рази ополіскують дистильованою водою. </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Мінералізація  проби.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Розкладання проб для визначення вмісту токсичних елементів звичайно проводиться з використанням сухої або мокрої мінералізації.</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Суху мінералізацію проводять прожаренням проби на повітрі. Вологий матеріал перед озоленням висушують, леткі розчинники видаляють випаровуванням при слабкому нагріванні або на водяній лазні.</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окислення органічної речовини відбувалося спокійно, без розбризкування, тигель або чашку з пробою ставлять у холодну муфельну піч і поволі нагрівають до потрібної температури (звичайно зі швидкістю не більше 100°С за годину). При визначенні Плюмбуму, Кадмію, Цинку, Купруму робоча температура озолення не повинна перевищувати 450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щоб уникнути втрат визначуваного елементу. Іноді додають речовини, що сприяють більш ефективному і швидкому окисленню і запобігають випаровуванню деяких компонентів золи.</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Мокра мінералізація заснована на повному руйнуванні органічних речовин при нагріванні наважки проби з окисниками. Для цих цілей використовують концентровані сульфатну і нітратну кислоти з додаванням хлоридної кислоти або гідроген пероксида. Іноді наважки нагрівають лише з гідроген пероксидом. Розкладання проводять у скляному або кварцовому посуді, для нагрівання застосовують електричні плитки або піщані лазні. Суміш кислот додають невеликими порціями.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Побудова калібрувального графіка та аналіз.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калібрувального графіка готують не менш як 5 розчинів порівнянь з різними концентраціями, котрі потім аналізують на спектрофотометрі. Графік будують, відкладаючи по осі абсцис концентрацію металу в розчинах порівняння в міліграмах на літр, по осі ординат-відповідні їм значення абсорбції. Для цього спочатку готують основні розчини шляхом розчинення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державного стандартного зразка розчину іону в 10% розчині нітратної кислоти у мірній колбі ємністю 1000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Робочі розчини (розчини порівняння) одержують розведенням 10 % розчином нітратної кислоти основних розчинів в мірних  колбах  до  необхідних концентрацій. Для кожного з металів, що визначають, слід приготувати декілька розчинів різних концентрацій (мінімум п'ять) для побудови калібрувальних графіків.</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Допускається приготування основних розчинів (Купруму, Цинку, Плюмбуму, Кадмію та Стануму) як із металу, так і з стабільної солі цього металу, наприклад:</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основний розчин Цинку, що має 1 мг  Цинку в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готують таким чином: 1,000 г металічного цинку розчиняють в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розчину нітратної кислоти в мірній колбі ємністю 1000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доводять об'єм водою до мітки.</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основний розчин Плюмбуму, що має 1 мг  Плюмбуму в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готують таким чином: 1,599 г  плюмбум нітрату розчиняють в воді в мірній колбі ємністю 1000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концентрованої нітратної кислоти доводять об'єм водою до мітки.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Лампи, довжину хвилі, ширину щілини монохроматору, програмування режимів роботи та інші параметри встановлюють відповідно з інструкцією до приладу.</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металу розчин проби в 10 % нітратної кислоті вводиться в прилад після побудови калібрувального графіка. Якщо розчин мінералізату буде більш концентрований, ніж розчин порівняння з найбільшою концентрацією, його розбавляють 10% розчином нітратної кислоти так, щоб сигнал поглинання розбавленого розчину виявився в лінійній області калібрувального графіка.</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Розрахунки</w:t>
      </w: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металів (X) у міліграмах на кілограм проби розраховують за формулою:</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09700" cy="393700"/>
            <wp:effectExtent b="0" l="0" r="0" t="0"/>
            <wp:docPr id="103" name="image83.png"/>
            <a:graphic>
              <a:graphicData uri="http://schemas.openxmlformats.org/drawingml/2006/picture">
                <pic:pic>
                  <pic:nvPicPr>
                    <pic:cNvPr id="0" name="image83.png"/>
                    <pic:cNvPicPr preferRelativeResize="0"/>
                  </pic:nvPicPr>
                  <pic:blipFill>
                    <a:blip r:embed="rId96"/>
                    <a:srcRect b="0" l="0" r="0" t="0"/>
                    <a:stretch>
                      <a:fillRect/>
                    </a:stretch>
                  </pic:blipFill>
                  <pic:spPr>
                    <a:xfrm>
                      <a:off x="0" y="0"/>
                      <a:ext cx="1409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К - коефіцієнт розведення (К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загальний / V аліквотний);</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 концентрація металу в розведеному розчині мінералізату, мг/кг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 початковий об'єм розчину мінералізату,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Сх. - концентрація металу в розчині контрольної проби, мг/кг;</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Vх - об'єм розчину контрольної проби,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 - маса аналізованої проби, г.</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атомно-абсорбційний метод аналізу?</w:t>
      </w:r>
    </w:p>
    <w:p w:rsidR="00000000" w:rsidDel="00000000" w:rsidP="00000000" w:rsidRDefault="00000000" w:rsidRPr="00000000" w14:paraId="0000041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прилади використовуються в цьому методі?</w:t>
      </w:r>
    </w:p>
    <w:p w:rsidR="00000000" w:rsidDel="00000000" w:rsidP="00000000" w:rsidRDefault="00000000" w:rsidRPr="00000000" w14:paraId="0000041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проводять мінералізацію проби? Які види мінералізації ви знаєте?</w:t>
      </w:r>
    </w:p>
    <w:p w:rsidR="00000000" w:rsidDel="00000000" w:rsidP="00000000" w:rsidRDefault="00000000" w:rsidRPr="00000000" w14:paraId="0000041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будують калібрувальний графік?</w:t>
      </w:r>
    </w:p>
    <w:p w:rsidR="00000000" w:rsidDel="00000000" w:rsidP="00000000" w:rsidRDefault="00000000" w:rsidRPr="00000000" w14:paraId="000004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Опишіть методику приготування розчинів.</w:t>
      </w:r>
    </w:p>
    <w:p w:rsidR="00000000" w:rsidDel="00000000" w:rsidP="00000000" w:rsidRDefault="00000000" w:rsidRPr="00000000" w14:paraId="0000041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формулу для розрахунку вмісту металу в аналізованій пробі.</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Електрохімічні методи аналізу</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Електрохімічні методи засновані на електрохімічних властивостях систем, що аналізують. До цієї групи методів відносяться електрогравіметрія, потенціометрія, кондуктометрія, полярографія.</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Електрогравіметричний метод заснований на виділенні речовини на електродах з розчинів електролітів під час проходження постійного електричного струму.</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Потенціометрія заснована на вимірюванні потенціалу електорода, що занурюють у розчин; величина потенціалу залежить від концентрації йонів у розчині.</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Кондуктометрія заснована на вимірі електропровідності розчинів, що змінюється в результаті реакції.</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Під час полярографічного аналізу розчин піддають електролізу, записують криву, що показує зміну сили струму з підвищенням напруги, за її характером судять про наявність тих чи інших катіонів у розчині та про їх кількісний вміст.</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Визначення вмісту кислот або основ методом потенціометричного титрування</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Прилади та реактиви: рН-метр або іонометр, магнітні мішалки, бюретки, піпетки, стакани (100мл).</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Розчини:</w:t>
        <w:tab/>
        <w:t xml:space="preserve">хлоридної кислоти або натрій гідроксиду (0,2-0,5%) (аналізований розчин), титрований розчин натрій гідроксиду або хлоридної кислоти (титрант).</w:t>
      </w:r>
    </w:p>
    <w:p w:rsidR="00000000" w:rsidDel="00000000" w:rsidP="00000000" w:rsidRDefault="00000000" w:rsidRPr="00000000" w14:paraId="000004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аналізованого розчину переносять піпеткою у стакан на 100мл, занурюють туди електроди та доливають у стакан води так, щоб мембрана електроду занурювалася у розчин.</w:t>
      </w:r>
    </w:p>
    <w:p w:rsidR="00000000" w:rsidDel="00000000" w:rsidP="00000000" w:rsidRDefault="00000000" w:rsidRPr="00000000" w14:paraId="000004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Титрують стандартним розчином. Суміш перемішують після додавання кожної порції титранту та вимірюють рН. На початку титрування додають 0,5 мл титранту, а поблизу точки еквівалентності – по 0.05 мл.</w:t>
      </w:r>
    </w:p>
    <w:p w:rsidR="00000000" w:rsidDel="00000000" w:rsidP="00000000" w:rsidRDefault="00000000" w:rsidRPr="00000000" w14:paraId="000004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Результати титрування записують у таблицю:</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5995.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4"/>
        <w:gridCol w:w="1289"/>
        <w:gridCol w:w="1278"/>
        <w:gridCol w:w="1278"/>
        <w:gridCol w:w="906"/>
        <w:tblGridChange w:id="0">
          <w:tblGrid>
            <w:gridCol w:w="1244"/>
            <w:gridCol w:w="1289"/>
            <w:gridCol w:w="1278"/>
            <w:gridCol w:w="1278"/>
            <w:gridCol w:w="906"/>
          </w:tblGrid>
        </w:tblGridChange>
      </w:tblGrid>
      <w:tr>
        <w:trPr>
          <w:cantSplit w:val="0"/>
          <w:tblHeader w:val="0"/>
        </w:trPr>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титранту (мл)</w:t>
            </w:r>
          </w:p>
        </w:tc>
        <w:tc>
          <w:tcP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∆V</w:t>
            </w:r>
          </w:p>
        </w:tc>
        <w:tc>
          <w:tcP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w:t>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pH</w:t>
            </w:r>
          </w:p>
        </w:tc>
        <w:tc>
          <w:tcPr>
            <w:vAlign w:val="top"/>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8300" cy="393700"/>
                  <wp:effectExtent b="0" l="0" r="0" t="0"/>
                  <wp:docPr id="100" name="image84.png"/>
                  <a:graphic>
                    <a:graphicData uri="http://schemas.openxmlformats.org/drawingml/2006/picture">
                      <pic:pic>
                        <pic:nvPicPr>
                          <pic:cNvPr id="0" name="image84.png"/>
                          <pic:cNvPicPr preferRelativeResize="0"/>
                        </pic:nvPicPr>
                        <pic:blipFill>
                          <a:blip r:embed="rId97"/>
                          <a:srcRect b="0" l="0" r="0" t="0"/>
                          <a:stretch>
                            <a:fillRect/>
                          </a:stretch>
                        </pic:blipFill>
                        <pic:spPr>
                          <a:xfrm>
                            <a:off x="0" y="0"/>
                            <a:ext cx="368300" cy="393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За даними титрування будують криву титрування – графік залежності рН від об’єму титранту та графік диференціальної залежності ∆pH/∆V від V. Знайшовши точку еквівалентності, визначають еквівалентний об’єм титранту.</w:t>
      </w:r>
    </w:p>
    <w:p w:rsidR="00000000" w:rsidDel="00000000" w:rsidP="00000000" w:rsidRDefault="00000000" w:rsidRPr="00000000" w14:paraId="000004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7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Знаходять нормальність аналізованого розчину та визначають вміст кислоти або лугу (г).</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метод потенціометрії?</w:t>
      </w:r>
    </w:p>
    <w:p w:rsidR="00000000" w:rsidDel="00000000" w:rsidP="00000000" w:rsidRDefault="00000000" w:rsidRPr="00000000" w14:paraId="000004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електрод називають стандартним (нормальним) водневим електродом, який його пристрій?</w:t>
      </w:r>
    </w:p>
    <w:p w:rsidR="00000000" w:rsidDel="00000000" w:rsidP="00000000" w:rsidRDefault="00000000" w:rsidRPr="00000000" w14:paraId="000004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електроди називають електродами порівняння й індикаторними електродами?</w:t>
      </w:r>
    </w:p>
    <w:p w:rsidR="00000000" w:rsidDel="00000000" w:rsidP="00000000" w:rsidRDefault="00000000" w:rsidRPr="00000000" w14:paraId="000004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рівняння Нернста. Які параметри входять у це рівняння?</w:t>
      </w:r>
    </w:p>
    <w:p w:rsidR="00000000" w:rsidDel="00000000" w:rsidP="00000000" w:rsidRDefault="00000000" w:rsidRPr="00000000" w14:paraId="000004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яких визначень використовують метод прямої потенціометрії? Який електрод застосовують у цьому методі в якості індикаторного електроду? </w:t>
      </w:r>
    </w:p>
    <w:p w:rsidR="00000000" w:rsidDel="00000000" w:rsidP="00000000" w:rsidRDefault="00000000" w:rsidRPr="00000000" w14:paraId="000004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яких визначень застосовують метод потенціометричного титрування?</w:t>
      </w:r>
    </w:p>
    <w:p w:rsidR="00000000" w:rsidDel="00000000" w:rsidP="00000000" w:rsidRDefault="00000000" w:rsidRPr="00000000" w14:paraId="000004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електроди використовують у методі потенціометричного титрування як електроди порівняння і чому?</w:t>
      </w:r>
    </w:p>
    <w:p w:rsidR="00000000" w:rsidDel="00000000" w:rsidP="00000000" w:rsidRDefault="00000000" w:rsidRPr="00000000" w14:paraId="000004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будову скляного електрода.</w:t>
      </w:r>
    </w:p>
    <w:p w:rsidR="00000000" w:rsidDel="00000000" w:rsidP="00000000" w:rsidRDefault="00000000" w:rsidRPr="00000000" w14:paraId="000004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знаходять точку еквівалентності в методі потенціометричного титрування?</w:t>
      </w:r>
    </w:p>
    <w:p w:rsidR="00000000" w:rsidDel="00000000" w:rsidP="00000000" w:rsidRDefault="00000000" w:rsidRPr="00000000" w14:paraId="000004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є види кривих потенціометричного титрування?</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Хроматографічний аналіз</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 застосований на тому, що навіть близькі за складом або будовою речовини неоднаково поглинаються сорбентами. Тому під час фільтрування аналізованої суміші речовин через хроматографічну колонку, наповнену сорбентом, відбувається вибіркова адсорбція: речовини, які сильно сорбуються, поглинаються у верхній частині колонки, а які сорбуються слабкіше, просуваються далі.</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Коли компоненти суміші забарвлені, одержана хроматограма дозволяє безпосередньо судити про якісний та кількісний склад речовин, присутніх у суміші.</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Масу кожного компоненту, виділеного з суміші хроматографічним методом, визначають звичайними хімічними або фізико-хімічними методами.</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Кількісне визначення вмісту Купруму (ІІ) в розчині</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методом іонообмінної хроматографії</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Прилади та реактиви:</w:t>
        <w:tab/>
        <w:t xml:space="preserve">катіоніт КІ-2, хроматографічна колонка, лакмусовий папір, піпетки, конічні колби, бюретки.</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Розчини:</w:t>
        <w:tab/>
        <w:t xml:space="preserve">НСІ(2н), NaOH(0,1н), фенолфталеїн.</w:t>
      </w:r>
    </w:p>
    <w:p w:rsidR="00000000" w:rsidDel="00000000" w:rsidP="00000000" w:rsidRDefault="00000000" w:rsidRPr="00000000" w14:paraId="000004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Підготування катіоніту до роботи.</w:t>
      </w:r>
    </w:p>
    <w:p w:rsidR="00000000" w:rsidDel="00000000" w:rsidP="00000000" w:rsidRDefault="00000000" w:rsidRPr="00000000" w14:paraId="0000044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г катіоніту КІ-2, що помістили у скляну колонку, переводять у Н-форму, пропускаючи крізь нього 100мл 2н розчину хлоридної кислоти зі швидкістю 2 краплі в секунду.</w:t>
        <w:tab/>
        <w:t xml:space="preserve">  Кислоту вливають у колонку окремими порціями по 10-15мл.</w:t>
      </w:r>
    </w:p>
    <w:p w:rsidR="00000000" w:rsidDel="00000000" w:rsidP="00000000" w:rsidRDefault="00000000" w:rsidRPr="00000000" w14:paraId="0000044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катіоніт ретельно відмивають від кислоти дистильованою водою до нейтральної реакції фільтрату за синім лакмусовим папером.</w:t>
      </w:r>
    </w:p>
    <w:p w:rsidR="00000000" w:rsidDel="00000000" w:rsidP="00000000" w:rsidRDefault="00000000" w:rsidRPr="00000000" w14:paraId="000004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Хід визначення</w:t>
      </w:r>
    </w:p>
    <w:p w:rsidR="00000000" w:rsidDel="00000000" w:rsidP="00000000" w:rsidRDefault="00000000" w:rsidRPr="00000000" w14:paraId="0000044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Отриманий у лаборанта аналізований розчин у мірній колбі на 100мл розбавляють до риски водою.</w:t>
      </w:r>
    </w:p>
    <w:p w:rsidR="00000000" w:rsidDel="00000000" w:rsidP="00000000" w:rsidRDefault="00000000" w:rsidRPr="00000000" w14:paraId="0000045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Відбирають піпеткою 15мл приготовленого розчину, поміщають у колонку та пропускають розчин через катіоніт. Швидкість пропускання розчину через катіоніт – 2 краплі в секунду. Фільтрат збирають у конічну колбу.</w:t>
      </w:r>
    </w:p>
    <w:p w:rsidR="00000000" w:rsidDel="00000000" w:rsidP="00000000" w:rsidRDefault="00000000" w:rsidRPr="00000000" w14:paraId="0000045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крізь катіоніт пропускають дистильовану воду, вливаючи нову порцію води тоді, доки рідина в колонці досягне поверхні катіоніту. Воду пропускають крізь катіоніт до тих пір, доки крапля фільтрату не перестане змінювати колір синього лакмусового паперу. Всі промивні води ретельно збирають у ту ж конічну колбу, що і фільтрат.</w:t>
      </w:r>
    </w:p>
    <w:p w:rsidR="00000000" w:rsidDel="00000000" w:rsidP="00000000" w:rsidRDefault="00000000" w:rsidRPr="00000000" w14:paraId="0000045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колби відтитровують 0,1н розчином лугу в присутності індикатора фенолфталеїну до блідо-рожевого забарвлення розчину. Визначення проводять 3 рази.</w:t>
      </w:r>
    </w:p>
    <w:p w:rsidR="00000000" w:rsidDel="00000000" w:rsidP="00000000" w:rsidRDefault="00000000" w:rsidRPr="00000000" w14:paraId="000004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Регенерація катіоніту</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Регенерують катіоніт, тобто знову переводять у Н-форму. Для цього крізь колонку з катіонітом пропускають 2н розчин хлоридної кислоти для вилучення катіонів Купруму, а потім відмивають катіоніт від кислоти дистильованою водою. До наступного визначення катіоніт зберігають у колонці, заповненою водою.</w:t>
      </w:r>
    </w:p>
    <w:p w:rsidR="00000000" w:rsidDel="00000000" w:rsidP="00000000" w:rsidRDefault="00000000" w:rsidRPr="00000000" w14:paraId="000004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Розраховують масу Купруму (q) в аналізованому розчині за формулою:</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71700" cy="431800"/>
            <wp:effectExtent b="0" l="0" r="0" t="0"/>
            <wp:docPr id="101" name="image98.png"/>
            <a:graphic>
              <a:graphicData uri="http://schemas.openxmlformats.org/drawingml/2006/picture">
                <pic:pic>
                  <pic:nvPicPr>
                    <pic:cNvPr id="0" name="image98.png"/>
                    <pic:cNvPicPr preferRelativeResize="0"/>
                  </pic:nvPicPr>
                  <pic:blipFill>
                    <a:blip r:embed="rId98"/>
                    <a:srcRect b="0" l="0" r="0" t="0"/>
                    <a:stretch>
                      <a:fillRect/>
                    </a:stretch>
                  </pic:blipFill>
                  <pic:spPr>
                    <a:xfrm>
                      <a:off x="0" y="0"/>
                      <a:ext cx="21717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73100" cy="215900"/>
            <wp:effectExtent b="0" l="0" r="0" t="0"/>
            <wp:docPr id="96" name="image78.png"/>
            <a:graphic>
              <a:graphicData uri="http://schemas.openxmlformats.org/drawingml/2006/picture">
                <pic:pic>
                  <pic:nvPicPr>
                    <pic:cNvPr id="0" name="image78.png"/>
                    <pic:cNvPicPr preferRelativeResize="0"/>
                  </pic:nvPicPr>
                  <pic:blipFill>
                    <a:blip r:embed="rId99"/>
                    <a:srcRect b="0" l="0" r="0" t="0"/>
                    <a:stretch>
                      <a:fillRect/>
                    </a:stretch>
                  </pic:blipFill>
                  <pic:spPr>
                    <a:xfrm>
                      <a:off x="0" y="0"/>
                      <a:ext cx="6731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робочого розчину, витрачений на титрування;</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62000" cy="215900"/>
            <wp:effectExtent b="0" l="0" r="0" t="0"/>
            <wp:docPr id="98" name="image79.png"/>
            <a:graphic>
              <a:graphicData uri="http://schemas.openxmlformats.org/drawingml/2006/picture">
                <pic:pic>
                  <pic:nvPicPr>
                    <pic:cNvPr id="0" name="image79.png"/>
                    <pic:cNvPicPr preferRelativeResize="0"/>
                  </pic:nvPicPr>
                  <pic:blipFill>
                    <a:blip r:embed="rId100"/>
                    <a:srcRect b="0" l="0" r="0" t="0"/>
                    <a:stretch>
                      <a:fillRect/>
                    </a:stretch>
                  </pic:blipFill>
                  <pic:spPr>
                    <a:xfrm>
                      <a:off x="0" y="0"/>
                      <a:ext cx="762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нормальна концентрація титранту;</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3200" cy="228600"/>
            <wp:effectExtent b="0" l="0" r="0" t="0"/>
            <wp:docPr id="95" name="image76.png"/>
            <a:graphic>
              <a:graphicData uri="http://schemas.openxmlformats.org/drawingml/2006/picture">
                <pic:pic>
                  <pic:nvPicPr>
                    <pic:cNvPr id="0" name="image76.png"/>
                    <pic:cNvPicPr preferRelativeResize="0"/>
                  </pic:nvPicPr>
                  <pic:blipFill>
                    <a:blip r:embed="rId101"/>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еквівалентна маса аналізованого компоненту;</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5100" cy="228600"/>
            <wp:effectExtent b="0" l="0" r="0" t="0"/>
            <wp:docPr id="85" name="image115.png"/>
            <a:graphic>
              <a:graphicData uri="http://schemas.openxmlformats.org/drawingml/2006/picture">
                <pic:pic>
                  <pic:nvPicPr>
                    <pic:cNvPr id="0" name="image115.png"/>
                    <pic:cNvPicPr preferRelativeResize="0"/>
                  </pic:nvPicPr>
                  <pic:blipFill>
                    <a:blip r:embed="rId102"/>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мірної колби, мл;</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3200" cy="215900"/>
            <wp:effectExtent b="0" l="0" r="0" t="0"/>
            <wp:docPr id="86" name="image72.png"/>
            <a:graphic>
              <a:graphicData uri="http://schemas.openxmlformats.org/drawingml/2006/picture">
                <pic:pic>
                  <pic:nvPicPr>
                    <pic:cNvPr id="0" name="image72.png"/>
                    <pic:cNvPicPr preferRelativeResize="0"/>
                  </pic:nvPicPr>
                  <pic:blipFill>
                    <a:blip r:embed="rId103"/>
                    <a:srcRect b="0" l="0" r="0" t="0"/>
                    <a:stretch>
                      <a:fillRect/>
                    </a:stretch>
                  </pic:blipFill>
                  <pic:spPr>
                    <a:xfrm>
                      <a:off x="0" y="0"/>
                      <a:ext cx="203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розчину аналізованої речовини.</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метод хроматографічного аналізу?</w:t>
      </w:r>
    </w:p>
    <w:p w:rsidR="00000000" w:rsidDel="00000000" w:rsidP="00000000" w:rsidRDefault="00000000" w:rsidRPr="00000000" w14:paraId="000004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класифікують хроматографічні методи за агрегатним станом середовища, за механізмом процесу розділення, за технікою (формою) проведення процесу?</w:t>
      </w:r>
    </w:p>
    <w:p w:rsidR="00000000" w:rsidDel="00000000" w:rsidP="00000000" w:rsidRDefault="00000000" w:rsidRPr="00000000" w14:paraId="000004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метод йонообмінної хроматографії?</w:t>
      </w:r>
    </w:p>
    <w:p w:rsidR="00000000" w:rsidDel="00000000" w:rsidP="00000000" w:rsidRDefault="00000000" w:rsidRPr="00000000" w14:paraId="000004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типи йонообмінних смол застосовують у хроматографії?</w:t>
      </w:r>
    </w:p>
    <w:p w:rsidR="00000000" w:rsidDel="00000000" w:rsidP="00000000" w:rsidRDefault="00000000" w:rsidRPr="00000000" w14:paraId="000004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одержати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форми йонообмінних смол і підготувати їх до роботи?</w:t>
      </w:r>
    </w:p>
    <w:p w:rsidR="00000000" w:rsidDel="00000000" w:rsidP="00000000" w:rsidRDefault="00000000" w:rsidRPr="00000000" w14:paraId="000004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принцип йонообмінної хроматографії.</w:t>
      </w:r>
    </w:p>
    <w:p w:rsidR="00000000" w:rsidDel="00000000" w:rsidP="00000000" w:rsidRDefault="00000000" w:rsidRPr="00000000" w14:paraId="0000046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катіоніти й аніоніти та як їх класифікують?</w:t>
      </w:r>
    </w:p>
    <w:p w:rsidR="00000000" w:rsidDel="00000000" w:rsidP="00000000" w:rsidRDefault="00000000" w:rsidRPr="00000000" w14:paraId="000004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об’ємна здатність йоніту?</w:t>
      </w:r>
    </w:p>
    <w:p w:rsidR="00000000" w:rsidDel="00000000" w:rsidP="00000000" w:rsidRDefault="00000000" w:rsidRPr="00000000" w14:paraId="000004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регенерують йоніти?</w:t>
      </w:r>
    </w:p>
    <w:p w:rsidR="00000000" w:rsidDel="00000000" w:rsidP="00000000" w:rsidRDefault="00000000" w:rsidRPr="00000000" w14:paraId="000004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55" w:right="0" w:hanging="75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за допомогою йонообмінної адсорбції можна одержати демінералізовану воду?</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Застосування методів математичної статистики в аналітичній хімії</w:t>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Приклад розрахунку та порівняння результатів двох методів визначення Феруму в пробі</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Обробка даних, отриманих титруванням Феруму перманганатом.</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Припустимо, що відсотковий вміст Феруму в пробі, розрахований за результатами титрування, складає 27,0%; 26,1%; 26,5%.</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Розрахуємо середній вміст: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60400" cy="431800"/>
            <wp:effectExtent b="0" l="0" r="0" t="0"/>
            <wp:docPr id="83" name="image89.png"/>
            <a:graphic>
              <a:graphicData uri="http://schemas.openxmlformats.org/drawingml/2006/picture">
                <pic:pic>
                  <pic:nvPicPr>
                    <pic:cNvPr id="0" name="image89.png"/>
                    <pic:cNvPicPr preferRelativeResize="0"/>
                  </pic:nvPicPr>
                  <pic:blipFill>
                    <a:blip r:embed="rId104"/>
                    <a:srcRect b="0" l="0" r="0" t="0"/>
                    <a:stretch>
                      <a:fillRect/>
                    </a:stretch>
                  </pic:blipFill>
                  <pic:spPr>
                    <a:xfrm>
                      <a:off x="0" y="0"/>
                      <a:ext cx="660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число визначень (число варіант у ряду):</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54200" cy="622300"/>
            <wp:effectExtent b="0" l="0" r="0" t="0"/>
            <wp:docPr id="84" name="image93.png"/>
            <a:graphic>
              <a:graphicData uri="http://schemas.openxmlformats.org/drawingml/2006/picture">
                <pic:pic>
                  <pic:nvPicPr>
                    <pic:cNvPr id="0" name="image93.png"/>
                    <pic:cNvPicPr preferRelativeResize="0"/>
                  </pic:nvPicPr>
                  <pic:blipFill>
                    <a:blip r:embed="rId105"/>
                    <a:srcRect b="0" l="0" r="0" t="0"/>
                    <a:stretch>
                      <a:fillRect/>
                    </a:stretch>
                  </pic:blipFill>
                  <pic:spPr>
                    <a:xfrm>
                      <a:off x="0" y="0"/>
                      <a:ext cx="18542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стандартне відхилення:</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0200" cy="520700"/>
            <wp:effectExtent b="0" l="0" r="0" t="0"/>
            <wp:docPr id="81" name="image65.png"/>
            <a:graphic>
              <a:graphicData uri="http://schemas.openxmlformats.org/drawingml/2006/picture">
                <pic:pic>
                  <pic:nvPicPr>
                    <pic:cNvPr id="0" name="image65.png"/>
                    <pic:cNvPicPr preferRelativeResize="0"/>
                  </pic:nvPicPr>
                  <pic:blipFill>
                    <a:blip r:embed="rId106"/>
                    <a:srcRect b="0" l="0" r="0" t="0"/>
                    <a:stretch>
                      <a:fillRect/>
                    </a:stretch>
                  </pic:blipFill>
                  <pic:spPr>
                    <a:xfrm>
                      <a:off x="0" y="0"/>
                      <a:ext cx="16002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дисперсія, 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число ступенів вільності, рівне в даному випадку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57600" cy="419100"/>
            <wp:effectExtent b="0" l="0" r="0" t="0"/>
            <wp:docPr id="82" name="image92.png"/>
            <a:graphic>
              <a:graphicData uri="http://schemas.openxmlformats.org/drawingml/2006/picture">
                <pic:pic>
                  <pic:nvPicPr>
                    <pic:cNvPr id="0" name="image92.png"/>
                    <pic:cNvPicPr preferRelativeResize="0"/>
                  </pic:nvPicPr>
                  <pic:blipFill>
                    <a:blip r:embed="rId107"/>
                    <a:srcRect b="0" l="0" r="0" t="0"/>
                    <a:stretch>
                      <a:fillRect/>
                    </a:stretch>
                  </pic:blipFill>
                  <pic:spPr>
                    <a:xfrm>
                      <a:off x="0" y="0"/>
                      <a:ext cx="3657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39800" cy="266700"/>
            <wp:effectExtent b="0" l="0" r="0" t="0"/>
            <wp:docPr id="79" name="image67.png"/>
            <a:graphic>
              <a:graphicData uri="http://schemas.openxmlformats.org/drawingml/2006/picture">
                <pic:pic>
                  <pic:nvPicPr>
                    <pic:cNvPr id="0" name="image67.png"/>
                    <pic:cNvPicPr preferRelativeResize="0"/>
                  </pic:nvPicPr>
                  <pic:blipFill>
                    <a:blip r:embed="rId108"/>
                    <a:srcRect b="0" l="0" r="0" t="0"/>
                    <a:stretch>
                      <a:fillRect/>
                    </a:stretch>
                  </pic:blipFill>
                  <pic:spPr>
                    <a:xfrm>
                      <a:off x="0" y="0"/>
                      <a:ext cx="939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Величина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характеризує відтворюваність визначення. Знаючи 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 cy="215900"/>
            <wp:effectExtent b="0" l="0" r="0" t="0"/>
            <wp:docPr id="80" name="image15.png"/>
            <a:graphic>
              <a:graphicData uri="http://schemas.openxmlformats.org/drawingml/2006/picture">
                <pic:pic>
                  <pic:nvPicPr>
                    <pic:cNvPr id="0" name="image15.png"/>
                    <pic:cNvPicPr preferRelativeResize="0"/>
                  </pic:nvPicPr>
                  <pic:blipFill>
                    <a:blip r:embed="rId109"/>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використовуючи табличні значення функції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α</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(розподілення Стьюдента) для 5%-ного рівня значимості (α=0,95 або ρ=0,05), оцінюємо вірність аналізу, розраховуючи інтервал, в якому лежить істинне значення вмісту Феруму в пробі:</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0" cy="419100"/>
            <wp:effectExtent b="0" l="0" r="0" t="0"/>
            <wp:docPr id="76" name="image60.png"/>
            <a:graphic>
              <a:graphicData uri="http://schemas.openxmlformats.org/drawingml/2006/picture">
                <pic:pic>
                  <pic:nvPicPr>
                    <pic:cNvPr id="0" name="image60.png"/>
                    <pic:cNvPicPr preferRelativeResize="0"/>
                  </pic:nvPicPr>
                  <pic:blipFill>
                    <a:blip r:embed="rId110"/>
                    <a:srcRect b="0" l="0" r="0" t="0"/>
                    <a:stretch>
                      <a:fillRect/>
                    </a:stretch>
                  </pic:blipFill>
                  <pic:spPr>
                    <a:xfrm>
                      <a:off x="0" y="0"/>
                      <a:ext cx="12700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71600" cy="419100"/>
            <wp:effectExtent b="0" l="0" r="0" t="0"/>
            <wp:docPr id="77" name="image59.png"/>
            <a:graphic>
              <a:graphicData uri="http://schemas.openxmlformats.org/drawingml/2006/picture">
                <pic:pic>
                  <pic:nvPicPr>
                    <pic:cNvPr id="0" name="image59.png"/>
                    <pic:cNvPicPr preferRelativeResize="0"/>
                  </pic:nvPicPr>
                  <pic:blipFill>
                    <a:blip r:embed="rId111"/>
                    <a:srcRect b="0" l="0" r="0" t="0"/>
                    <a:stretch>
                      <a:fillRect/>
                    </a:stretch>
                  </pic:blipFill>
                  <pic:spPr>
                    <a:xfrm>
                      <a:off x="0" y="0"/>
                      <a:ext cx="1371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Отримані результати показують наступним чином:</w:t>
      </w:r>
    </w:p>
    <w:tbl>
      <w:tblPr>
        <w:tblStyle w:val="Table4"/>
        <w:tblW w:w="66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
        <w:gridCol w:w="540"/>
        <w:gridCol w:w="720"/>
        <w:gridCol w:w="601"/>
        <w:gridCol w:w="540"/>
        <w:gridCol w:w="2340"/>
        <w:gridCol w:w="1260"/>
        <w:tblGridChange w:id="0">
          <w:tblGrid>
            <w:gridCol w:w="601"/>
            <w:gridCol w:w="540"/>
            <w:gridCol w:w="720"/>
            <w:gridCol w:w="601"/>
            <w:gridCol w:w="540"/>
            <w:gridCol w:w="2340"/>
            <w:gridCol w:w="1260"/>
          </w:tblGrid>
        </w:tblGridChange>
      </w:tblGrid>
      <w:tr>
        <w:trPr>
          <w:cantSplit w:val="0"/>
          <w:tblHeader w:val="0"/>
        </w:trPr>
        <w:tc>
          <w:tcPr>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w:t>
            </w:r>
            <w:r w:rsidDel="00000000" w:rsidR="00000000" w:rsidRPr="00000000">
              <w:rPr>
                <w:rtl w:val="0"/>
              </w:rPr>
            </w:r>
          </w:p>
        </w:tc>
        <w:tc>
          <w:tcP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 cy="215900"/>
                  <wp:effectExtent b="0" l="0" r="0" t="0"/>
                  <wp:docPr id="60" name="image15.png"/>
                  <a:graphic>
                    <a:graphicData uri="http://schemas.openxmlformats.org/drawingml/2006/picture">
                      <pic:pic>
                        <pic:nvPicPr>
                          <pic:cNvPr id="0" name="image15.png"/>
                          <pic:cNvPicPr preferRelativeResize="0"/>
                        </pic:nvPicPr>
                        <pic:blipFill>
                          <a:blip r:embed="rId109"/>
                          <a:srcRect b="0" l="0" r="0" t="0"/>
                          <a:stretch>
                            <a:fillRect/>
                          </a:stretch>
                        </pic:blipFill>
                        <pic:spPr>
                          <a:xfrm>
                            <a:off x="0" y="0"/>
                            <a:ext cx="127000" cy="2159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81000" cy="431800"/>
                  <wp:effectExtent b="0" l="0" r="0" t="0"/>
                  <wp:docPr id="57" name="image20.png"/>
                  <a:graphic>
                    <a:graphicData uri="http://schemas.openxmlformats.org/drawingml/2006/picture">
                      <pic:pic>
                        <pic:nvPicPr>
                          <pic:cNvPr id="0" name="image20.png"/>
                          <pic:cNvPicPr preferRelativeResize="0"/>
                        </pic:nvPicPr>
                        <pic:blipFill>
                          <a:blip r:embed="rId112"/>
                          <a:srcRect b="0" l="0" r="0" t="0"/>
                          <a:stretch>
                            <a:fillRect/>
                          </a:stretch>
                        </pic:blipFill>
                        <pic:spPr>
                          <a:xfrm>
                            <a:off x="0" y="0"/>
                            <a:ext cx="381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α=0,95</w:t>
            </w:r>
          </w:p>
        </w:tc>
        <w:tc>
          <w:tcPr>
            <w:vAlign w:val="top"/>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215900"/>
                  <wp:effectExtent b="0" l="0" r="0" t="0"/>
                  <wp:docPr id="58" name="image58.png"/>
                  <a:graphic>
                    <a:graphicData uri="http://schemas.openxmlformats.org/drawingml/2006/picture">
                      <pic:pic>
                        <pic:nvPicPr>
                          <pic:cNvPr id="0" name="image58.png"/>
                          <pic:cNvPicPr preferRelativeResize="0"/>
                        </pic:nvPicPr>
                        <pic:blipFill>
                          <a:blip r:embed="rId113"/>
                          <a:srcRect b="0" l="0" r="0" t="0"/>
                          <a:stretch>
                            <a:fillRect/>
                          </a:stretch>
                        </pic:blipFill>
                        <pic:spPr>
                          <a:xfrm>
                            <a:off x="0" y="0"/>
                            <a:ext cx="431800" cy="2159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w:t>
            </w:r>
          </w:p>
        </w:tc>
        <w:tc>
          <w:tcPr>
            <w:vAlign w:val="top"/>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top"/>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26,2</w:t>
            </w:r>
          </w:p>
        </w:tc>
        <w:tc>
          <w:tcPr>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0,37</w:t>
            </w:r>
          </w:p>
        </w:tc>
        <w:tc>
          <w:tcPr>
            <w:vAlign w:val="top"/>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w:t>
            </w:r>
          </w:p>
        </w:tc>
        <w:tc>
          <w:tcP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1,49</w:t>
            </w:r>
          </w:p>
        </w:tc>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24,71 -</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27,69</w:t>
            </w:r>
          </w:p>
        </w:tc>
      </w:tr>
    </w:tb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Подібним чином проводимо розрахунок під час визначення Феруму комплексонометричним титруванням.</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Наприклад, отримані наступні дані:</w:t>
      </w:r>
    </w:p>
    <w:tbl>
      <w:tblPr>
        <w:tblStyle w:val="Table5"/>
        <w:tblW w:w="616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
        <w:gridCol w:w="425"/>
        <w:gridCol w:w="700"/>
        <w:gridCol w:w="701"/>
        <w:gridCol w:w="701"/>
        <w:gridCol w:w="1896"/>
        <w:gridCol w:w="1144"/>
        <w:tblGridChange w:id="0">
          <w:tblGrid>
            <w:gridCol w:w="601"/>
            <w:gridCol w:w="425"/>
            <w:gridCol w:w="700"/>
            <w:gridCol w:w="701"/>
            <w:gridCol w:w="701"/>
            <w:gridCol w:w="1896"/>
            <w:gridCol w:w="1144"/>
          </w:tblGrid>
        </w:tblGridChange>
      </w:tblGrid>
      <w:tr>
        <w:trPr>
          <w:cantSplit w:val="0"/>
          <w:tblHeader w:val="0"/>
        </w:trPr>
        <w:tc>
          <w:tcP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і</w:t>
            </w:r>
            <w:r w:rsidDel="00000000" w:rsidR="00000000" w:rsidRPr="00000000">
              <w:rPr>
                <w:rtl w:val="0"/>
              </w:rPr>
            </w:r>
          </w:p>
        </w:tc>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 cy="215900"/>
                  <wp:effectExtent b="0" l="0" r="0" t="0"/>
                  <wp:docPr id="55" name="image15.png"/>
                  <a:graphic>
                    <a:graphicData uri="http://schemas.openxmlformats.org/drawingml/2006/picture">
                      <pic:pic>
                        <pic:nvPicPr>
                          <pic:cNvPr id="0" name="image15.png"/>
                          <pic:cNvPicPr preferRelativeResize="0"/>
                        </pic:nvPicPr>
                        <pic:blipFill>
                          <a:blip r:embed="rId109"/>
                          <a:srcRect b="0" l="0" r="0" t="0"/>
                          <a:stretch>
                            <a:fillRect/>
                          </a:stretch>
                        </pic:blipFill>
                        <pic:spPr>
                          <a:xfrm>
                            <a:off x="0" y="0"/>
                            <a:ext cx="127000" cy="2159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81000" cy="431800"/>
                  <wp:effectExtent b="0" l="0" r="0" t="0"/>
                  <wp:docPr id="56" name="image20.png"/>
                  <a:graphic>
                    <a:graphicData uri="http://schemas.openxmlformats.org/drawingml/2006/picture">
                      <pic:pic>
                        <pic:nvPicPr>
                          <pic:cNvPr id="0" name="image20.png"/>
                          <pic:cNvPicPr preferRelativeResize="0"/>
                        </pic:nvPicPr>
                        <pic:blipFill>
                          <a:blip r:embed="rId112"/>
                          <a:srcRect b="0" l="0" r="0" t="0"/>
                          <a:stretch>
                            <a:fillRect/>
                          </a:stretch>
                        </pic:blipFill>
                        <pic:spPr>
                          <a:xfrm>
                            <a:off x="0" y="0"/>
                            <a:ext cx="381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α=0,95</w:t>
            </w:r>
          </w:p>
        </w:tc>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215900"/>
                  <wp:effectExtent b="0" l="0" r="0" t="0"/>
                  <wp:docPr id="53" name="image58.png"/>
                  <a:graphic>
                    <a:graphicData uri="http://schemas.openxmlformats.org/drawingml/2006/picture">
                      <pic:pic>
                        <pic:nvPicPr>
                          <pic:cNvPr id="0" name="image58.png"/>
                          <pic:cNvPicPr preferRelativeResize="0"/>
                        </pic:nvPicPr>
                        <pic:blipFill>
                          <a:blip r:embed="rId113"/>
                          <a:srcRect b="0" l="0" r="0" t="0"/>
                          <a:stretch>
                            <a:fillRect/>
                          </a:stretch>
                        </pic:blipFill>
                        <pic:spPr>
                          <a:xfrm>
                            <a:off x="0" y="0"/>
                            <a:ext cx="431800" cy="2159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26,7</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26,3</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26,2</w:t>
            </w:r>
          </w:p>
        </w:tc>
        <w:tc>
          <w:tcP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26,4</w:t>
            </w:r>
          </w:p>
        </w:tc>
        <w:tc>
          <w:tcPr>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w:t>
            </w:r>
          </w:p>
        </w:tc>
        <w:tc>
          <w:tcPr>
            <w:vAlign w:val="top"/>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0,27</w:t>
            </w:r>
          </w:p>
        </w:tc>
        <w:tc>
          <w:tcPr>
            <w:vAlign w:val="top"/>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0,67</w:t>
            </w:r>
          </w:p>
        </w:tc>
        <w:tc>
          <w:tcPr>
            <w:vAlign w:val="top"/>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25,7-27,1</w:t>
            </w:r>
          </w:p>
        </w:tc>
      </w:tr>
    </w:tbl>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Проводимо порівняння відтворюваності двох методів, порівнюючи дисперсії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зі застосуванням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-розподілення.</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цього розраховуємо відношення більшої дисперсії до меншої, позначив відношення через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17600" cy="419100"/>
            <wp:effectExtent b="0" l="0" r="0" t="0"/>
            <wp:docPr id="54" name="image48.png"/>
            <a:graphic>
              <a:graphicData uri="http://schemas.openxmlformats.org/drawingml/2006/picture">
                <pic:pic>
                  <pic:nvPicPr>
                    <pic:cNvPr id="0" name="image48.png"/>
                    <pic:cNvPicPr preferRelativeResize="0"/>
                  </pic:nvPicPr>
                  <pic:blipFill>
                    <a:blip r:embed="rId114"/>
                    <a:srcRect b="0" l="0" r="0" t="0"/>
                    <a:stretch>
                      <a:fillRect/>
                    </a:stretch>
                  </pic:blipFill>
                  <pic:spPr>
                    <a:xfrm>
                      <a:off x="0" y="0"/>
                      <a:ext cx="111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Порівнюємо отримане значення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зі табличним значенням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розподілення при 5%-ному рівні значимості:</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табл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19,0 при р=0,05,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 як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табл.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розбіжність між дисперсіями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незначна.</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розбіжність між дисперсіями, що характеризують відтворюваність двох методів, незначна, то можемо оцінити розбіжність між середніми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28600" cy="241300"/>
            <wp:effectExtent b="0" l="0" r="0" t="0"/>
            <wp:docPr id="51" name="image44.png"/>
            <a:graphic>
              <a:graphicData uri="http://schemas.openxmlformats.org/drawingml/2006/picture">
                <pic:pic>
                  <pic:nvPicPr>
                    <pic:cNvPr id="0" name="image44.png"/>
                    <pic:cNvPicPr preferRelativeResize="0"/>
                  </pic:nvPicPr>
                  <pic:blipFill>
                    <a:blip r:embed="rId115"/>
                    <a:srcRect b="0" l="0" r="0" t="0"/>
                    <a:stretch>
                      <a:fillRect/>
                    </a:stretch>
                  </pic:blipFill>
                  <pic:spPr>
                    <a:xfrm>
                      <a:off x="0" y="0"/>
                      <a:ext cx="228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41300" cy="241300"/>
            <wp:effectExtent b="0" l="0" r="0" t="0"/>
            <wp:docPr id="52" name="image50.png"/>
            <a:graphic>
              <a:graphicData uri="http://schemas.openxmlformats.org/drawingml/2006/picture">
                <pic:pic>
                  <pic:nvPicPr>
                    <pic:cNvPr id="0" name="image50.png"/>
                    <pic:cNvPicPr preferRelativeResize="0"/>
                  </pic:nvPicPr>
                  <pic:blipFill>
                    <a:blip r:embed="rId116"/>
                    <a:srcRect b="0" l="0" r="0" t="0"/>
                    <a:stretch>
                      <a:fillRect/>
                    </a:stretch>
                  </pic:blipFill>
                  <pic:spPr>
                    <a:xfrm>
                      <a:off x="0" y="0"/>
                      <a:ext cx="2413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допомогою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-критерію. Для цього розраховуємо середнє виважене двох дисперсій:</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93900" cy="469900"/>
            <wp:effectExtent b="0" l="0" r="0" t="0"/>
            <wp:docPr id="49" name="image40.png"/>
            <a:graphic>
              <a:graphicData uri="http://schemas.openxmlformats.org/drawingml/2006/picture">
                <pic:pic>
                  <pic:nvPicPr>
                    <pic:cNvPr id="0" name="image40.png"/>
                    <pic:cNvPicPr preferRelativeResize="0"/>
                  </pic:nvPicPr>
                  <pic:blipFill>
                    <a:blip r:embed="rId117"/>
                    <a:srcRect b="0" l="0" r="0" t="0"/>
                    <a:stretch>
                      <a:fillRect/>
                    </a:stretch>
                  </pic:blipFill>
                  <pic:spPr>
                    <a:xfrm>
                      <a:off x="0" y="0"/>
                      <a:ext cx="1993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47800" cy="508000"/>
            <wp:effectExtent b="0" l="0" r="0" t="0"/>
            <wp:docPr id="28" name="image43.png"/>
            <a:graphic>
              <a:graphicData uri="http://schemas.openxmlformats.org/drawingml/2006/picture">
                <pic:pic>
                  <pic:nvPicPr>
                    <pic:cNvPr id="0" name="image43.png"/>
                    <pic:cNvPicPr preferRelativeResize="0"/>
                  </pic:nvPicPr>
                  <pic:blipFill>
                    <a:blip r:embed="rId118"/>
                    <a:srcRect b="0" l="0" r="0" t="0"/>
                    <a:stretch>
                      <a:fillRect/>
                    </a:stretch>
                  </pic:blipFill>
                  <pic:spPr>
                    <a:xfrm>
                      <a:off x="0" y="0"/>
                      <a:ext cx="14478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Отримуємо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47700" cy="254000"/>
            <wp:effectExtent b="0" l="0" r="0" t="0"/>
            <wp:docPr id="30" name="image23.png"/>
            <a:graphic>
              <a:graphicData uri="http://schemas.openxmlformats.org/drawingml/2006/picture">
                <pic:pic>
                  <pic:nvPicPr>
                    <pic:cNvPr id="0" name="image23.png"/>
                    <pic:cNvPicPr preferRelativeResize="0"/>
                  </pic:nvPicPr>
                  <pic:blipFill>
                    <a:blip r:embed="rId119"/>
                    <a:srcRect b="0" l="0" r="0" t="0"/>
                    <a:stretch>
                      <a:fillRect/>
                    </a:stretch>
                  </pic:blipFill>
                  <pic:spPr>
                    <a:xfrm>
                      <a:off x="0" y="0"/>
                      <a:ext cx="6477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=0,53. Порівнюємо отримане значення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табл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1%-ному рівні значимості та при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табл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4,60 при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0,01 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 як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табл.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експ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можна вважати, що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98500" cy="241300"/>
            <wp:effectExtent b="0" l="0" r="0" t="0"/>
            <wp:docPr id="26" name="image21.png"/>
            <a:graphic>
              <a:graphicData uri="http://schemas.openxmlformats.org/drawingml/2006/picture">
                <pic:pic>
                  <pic:nvPicPr>
                    <pic:cNvPr id="0" name="image21.png"/>
                    <pic:cNvPicPr preferRelativeResize="0"/>
                  </pic:nvPicPr>
                  <pic:blipFill>
                    <a:blip r:embed="rId120"/>
                    <a:srcRect b="0" l="0" r="0" t="0"/>
                    <a:stretch>
                      <a:fillRect/>
                    </a:stretch>
                  </pic:blipFill>
                  <pic:spPr>
                    <a:xfrm>
                      <a:off x="0" y="0"/>
                      <a:ext cx="6985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Отже, можна вважати, що усі отримані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результати відображають істинний вміст Феруму в пробі. Тому ми можемо розглядати усі результати як ряд із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варіант, і показати дані аналізу наступним чином:</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6456.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
        <w:gridCol w:w="436"/>
        <w:gridCol w:w="711"/>
        <w:gridCol w:w="711"/>
        <w:gridCol w:w="711"/>
        <w:gridCol w:w="2006"/>
        <w:gridCol w:w="1170"/>
        <w:tblGridChange w:id="0">
          <w:tblGrid>
            <w:gridCol w:w="711"/>
            <w:gridCol w:w="436"/>
            <w:gridCol w:w="711"/>
            <w:gridCol w:w="711"/>
            <w:gridCol w:w="711"/>
            <w:gridCol w:w="2006"/>
            <w:gridCol w:w="1170"/>
          </w:tblGrid>
        </w:tblGridChange>
      </w:tblGrid>
      <w:tr>
        <w:trPr>
          <w:cantSplit w:val="0"/>
          <w:tblHeader w:val="0"/>
        </w:trPr>
        <w:tc>
          <w:tcPr>
            <w:vAlign w:val="top"/>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xі</w:t>
            </w:r>
            <w:r w:rsidDel="00000000" w:rsidR="00000000" w:rsidRPr="00000000">
              <w:rPr>
                <w:rtl w:val="0"/>
              </w:rPr>
            </w:r>
          </w:p>
        </w:tc>
        <w:tc>
          <w:tcPr>
            <w:vAlign w:val="top"/>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7000" cy="215900"/>
                  <wp:effectExtent b="0" l="0" r="0" t="0"/>
                  <wp:docPr id="27" name="image15.png"/>
                  <a:graphic>
                    <a:graphicData uri="http://schemas.openxmlformats.org/drawingml/2006/picture">
                      <pic:pic>
                        <pic:nvPicPr>
                          <pic:cNvPr id="0" name="image15.png"/>
                          <pic:cNvPicPr preferRelativeResize="0"/>
                        </pic:nvPicPr>
                        <pic:blipFill>
                          <a:blip r:embed="rId109"/>
                          <a:srcRect b="0" l="0" r="0" t="0"/>
                          <a:stretch>
                            <a:fillRect/>
                          </a:stretch>
                        </pic:blipFill>
                        <pic:spPr>
                          <a:xfrm>
                            <a:off x="0" y="0"/>
                            <a:ext cx="127000" cy="2159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81000" cy="431800"/>
                  <wp:effectExtent b="0" l="0" r="0" t="0"/>
                  <wp:docPr id="24" name="image20.png"/>
                  <a:graphic>
                    <a:graphicData uri="http://schemas.openxmlformats.org/drawingml/2006/picture">
                      <pic:pic>
                        <pic:nvPicPr>
                          <pic:cNvPr id="0" name="image20.png"/>
                          <pic:cNvPicPr preferRelativeResize="0"/>
                        </pic:nvPicPr>
                        <pic:blipFill>
                          <a:blip r:embed="rId112"/>
                          <a:srcRect b="0" l="0" r="0" t="0"/>
                          <a:stretch>
                            <a:fillRect/>
                          </a:stretch>
                        </pic:blipFill>
                        <pic:spPr>
                          <a:xfrm>
                            <a:off x="0" y="0"/>
                            <a:ext cx="381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α=0,95</w:t>
            </w:r>
          </w:p>
        </w:tc>
        <w:tc>
          <w:tcPr>
            <w:vAlign w:val="top"/>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1800" cy="215900"/>
                  <wp:effectExtent b="0" l="0" r="0" t="0"/>
                  <wp:docPr id="25" name="image58.png"/>
                  <a:graphic>
                    <a:graphicData uri="http://schemas.openxmlformats.org/drawingml/2006/picture">
                      <pic:pic>
                        <pic:nvPicPr>
                          <pic:cNvPr id="0" name="image58.png"/>
                          <pic:cNvPicPr preferRelativeResize="0"/>
                        </pic:nvPicPr>
                        <pic:blipFill>
                          <a:blip r:embed="rId113"/>
                          <a:srcRect b="0" l="0" r="0" t="0"/>
                          <a:stretch>
                            <a:fillRect/>
                          </a:stretch>
                        </pic:blipFill>
                        <pic:spPr>
                          <a:xfrm>
                            <a:off x="0" y="0"/>
                            <a:ext cx="431800" cy="2159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26,1</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26,5</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26,7</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26,3</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26,2</w:t>
            </w:r>
          </w:p>
        </w:tc>
        <w:tc>
          <w:tcPr>
            <w:vAlign w:val="top"/>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top"/>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26,5</w:t>
            </w:r>
          </w:p>
        </w:tc>
        <w:tc>
          <w:tcPr>
            <w:vAlign w:val="top"/>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w:t>
            </w:r>
          </w:p>
        </w:tc>
        <w:tc>
          <w:tcPr>
            <w:vAlign w:val="top"/>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w:t>
            </w:r>
          </w:p>
        </w:tc>
        <w:tc>
          <w:tcPr>
            <w:vAlign w:val="top"/>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0,37</w:t>
            </w:r>
          </w:p>
        </w:tc>
        <w:tc>
          <w:tcPr>
            <w:vAlign w:val="top"/>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26,1-26,9</w:t>
            </w:r>
          </w:p>
        </w:tc>
      </w:tr>
    </w:tbl>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Список рекомендованої літератури</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Основна:</w:t>
      </w:r>
    </w:p>
    <w:p w:rsidR="00000000" w:rsidDel="00000000" w:rsidP="00000000" w:rsidRDefault="00000000" w:rsidRPr="00000000" w14:paraId="000004D2">
      <w:pPr>
        <w:numPr>
          <w:ilvl w:val="0"/>
          <w:numId w:val="25"/>
        </w:numPr>
        <w:ind w:left="0" w:firstLine="708.6614173228347"/>
        <w:jc w:val="both"/>
        <w:rPr>
          <w:sz w:val="24"/>
          <w:szCs w:val="24"/>
          <w:u w:val="none"/>
        </w:rPr>
      </w:pPr>
      <w:r w:rsidDel="00000000" w:rsidR="00000000" w:rsidRPr="00000000">
        <w:rPr>
          <w:sz w:val="24"/>
          <w:szCs w:val="24"/>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4D3">
      <w:pPr>
        <w:numPr>
          <w:ilvl w:val="0"/>
          <w:numId w:val="25"/>
        </w:numPr>
        <w:ind w:left="0" w:firstLine="708.6614173228347"/>
        <w:jc w:val="both"/>
        <w:rPr>
          <w:sz w:val="24"/>
          <w:szCs w:val="24"/>
          <w:u w:val="none"/>
        </w:rPr>
      </w:pPr>
      <w:r w:rsidDel="00000000" w:rsidR="00000000" w:rsidRPr="00000000">
        <w:rPr>
          <w:sz w:val="24"/>
          <w:szCs w:val="24"/>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4D4">
      <w:pPr>
        <w:numPr>
          <w:ilvl w:val="0"/>
          <w:numId w:val="25"/>
        </w:numPr>
        <w:ind w:left="0" w:firstLine="708.6614173228347"/>
        <w:jc w:val="both"/>
        <w:rPr>
          <w:sz w:val="24"/>
          <w:szCs w:val="24"/>
          <w:u w:val="none"/>
        </w:rPr>
      </w:pPr>
      <w:r w:rsidDel="00000000" w:rsidR="00000000" w:rsidRPr="00000000">
        <w:rPr>
          <w:sz w:val="24"/>
          <w:szCs w:val="24"/>
          <w:rtl w:val="0"/>
        </w:rPr>
        <w:t xml:space="preserve">Слободнюк Р. Є. Курс аналітичної хімії: навчальний посібник. Херсон: ОЛДІ-ПЛЮС, 2020.  256 с.</w:t>
      </w:r>
    </w:p>
    <w:p w:rsidR="00000000" w:rsidDel="00000000" w:rsidP="00000000" w:rsidRDefault="00000000" w:rsidRPr="00000000" w14:paraId="000004D5">
      <w:pPr>
        <w:numPr>
          <w:ilvl w:val="0"/>
          <w:numId w:val="25"/>
        </w:numPr>
        <w:pBdr>
          <w:top w:color="000000" w:space="0" w:sz="0" w:val="none"/>
          <w:bottom w:color="000000" w:space="0" w:sz="0" w:val="none"/>
          <w:right w:color="000000" w:space="0" w:sz="0" w:val="none"/>
          <w:between w:color="000000" w:space="0" w:sz="0" w:val="none"/>
        </w:pBdr>
        <w:shd w:fill="ffffff" w:val="clear"/>
        <w:ind w:left="0" w:firstLine="708.6614173228347"/>
        <w:rPr>
          <w:sz w:val="25"/>
          <w:szCs w:val="25"/>
          <w:u w:val="none"/>
        </w:rPr>
      </w:pPr>
      <w:r w:rsidDel="00000000" w:rsidR="00000000" w:rsidRPr="00000000">
        <w:rPr>
          <w:sz w:val="25"/>
          <w:szCs w:val="25"/>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4D6">
      <w:pPr>
        <w:numPr>
          <w:ilvl w:val="0"/>
          <w:numId w:val="25"/>
        </w:numPr>
        <w:ind w:left="0" w:firstLine="708.6614173228347"/>
        <w:jc w:val="both"/>
        <w:rPr>
          <w:sz w:val="24"/>
          <w:szCs w:val="24"/>
          <w:u w:val="none"/>
        </w:rPr>
      </w:pPr>
      <w:r w:rsidDel="00000000" w:rsidR="00000000" w:rsidRPr="00000000">
        <w:rPr>
          <w:sz w:val="24"/>
          <w:szCs w:val="24"/>
          <w:rtl w:val="0"/>
        </w:rPr>
        <w:t xml:space="preserve">Гриценко І. С., Колісник С. В., Клименко Л. Ю. та ін. Аналітична хімія у питаннях та відповідях: метод. рек. для позааудит. роботи здобув. вищої освіти.   Харків : НФаУ, 2019. 118 с.</w:t>
      </w:r>
    </w:p>
    <w:p w:rsidR="00000000" w:rsidDel="00000000" w:rsidP="00000000" w:rsidRDefault="00000000" w:rsidRPr="00000000" w14:paraId="000004D7">
      <w:pPr>
        <w:numPr>
          <w:ilvl w:val="0"/>
          <w:numId w:val="25"/>
        </w:numPr>
        <w:ind w:left="0" w:firstLine="708.6614173228347"/>
        <w:jc w:val="both"/>
        <w:rPr>
          <w:sz w:val="24"/>
          <w:szCs w:val="24"/>
          <w:u w:val="none"/>
        </w:rPr>
      </w:pPr>
      <w:r w:rsidDel="00000000" w:rsidR="00000000" w:rsidRPr="00000000">
        <w:rPr>
          <w:sz w:val="24"/>
          <w:szCs w:val="24"/>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Додаткова:</w:t>
      </w:r>
    </w:p>
    <w:p w:rsidR="00000000" w:rsidDel="00000000" w:rsidP="00000000" w:rsidRDefault="00000000" w:rsidRPr="00000000" w14:paraId="000004D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sz w:val="24"/>
          <w:szCs w:val="24"/>
          <w:u w:val="none"/>
        </w:rPr>
      </w:pPr>
      <w:r w:rsidDel="00000000" w:rsidR="00000000" w:rsidRPr="00000000">
        <w:rPr>
          <w:sz w:val="24"/>
          <w:szCs w:val="24"/>
          <w:rtl w:val="0"/>
        </w:rPr>
        <w:t xml:space="preserve">Більченко М.М. Задачі та вправи : навчальний посібник. Суми : Університетська книга, 2019. 205 с. </w:t>
      </w:r>
    </w:p>
    <w:p w:rsidR="00000000" w:rsidDel="00000000" w:rsidP="00000000" w:rsidRDefault="00000000" w:rsidRPr="00000000" w14:paraId="000004DB">
      <w:pPr>
        <w:numPr>
          <w:ilvl w:val="0"/>
          <w:numId w:val="26"/>
        </w:numPr>
        <w:ind w:left="0" w:firstLine="708.6614173228347"/>
        <w:jc w:val="both"/>
        <w:rPr>
          <w:sz w:val="24"/>
          <w:szCs w:val="24"/>
        </w:rPr>
      </w:pPr>
      <w:r w:rsidDel="00000000" w:rsidR="00000000" w:rsidRPr="00000000">
        <w:rPr>
          <w:sz w:val="24"/>
          <w:szCs w:val="24"/>
          <w:rtl w:val="0"/>
        </w:rPr>
        <w:t xml:space="preserve">Аналітична хімія. Якісний та кількісний аналіз : Курс лекцій для студентів природничих факультетів. Житомир : Житомирський державний університет, 2018. 160 с.</w:t>
      </w:r>
      <w:r w:rsidDel="00000000" w:rsidR="00000000" w:rsidRPr="00000000">
        <w:rPr>
          <w:rtl w:val="0"/>
        </w:rPr>
      </w:r>
    </w:p>
    <w:p w:rsidR="00000000" w:rsidDel="00000000" w:rsidP="00000000" w:rsidRDefault="00000000" w:rsidRPr="00000000" w14:paraId="000004DC">
      <w:pPr>
        <w:numPr>
          <w:ilvl w:val="0"/>
          <w:numId w:val="26"/>
        </w:numPr>
        <w:ind w:left="0" w:firstLine="708.6614173228347"/>
        <w:jc w:val="both"/>
        <w:rPr>
          <w:sz w:val="24"/>
          <w:szCs w:val="24"/>
        </w:rPr>
      </w:pPr>
      <w:r w:rsidDel="00000000" w:rsidR="00000000" w:rsidRPr="00000000">
        <w:rPr>
          <w:sz w:val="24"/>
          <w:szCs w:val="24"/>
          <w:rtl w:val="0"/>
        </w:rPr>
        <w:t xml:space="preserve">Луцевич Д. Д., Березан О.В. Конспект-довідник з хімії. Київ : Вища школа, 1997. 240 с.</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Методичне видання</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(українською мовою)</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Луганська Ольга Василівна</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АНАЛІТИЧНА ХІМІЯ</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КІЛЬКІСНИЙ АНАЛІЗ</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Методичні вказівки до лабораторних робіт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для студентів ІІ курсу біологічного факультету</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спеціальності “Хімія”</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Н.І. Пономаренко</w:t>
      </w: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Л.О. Омельянчик</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Коректор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Г.А. Лагрон</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Підп. до друку 28.11.2007. Формат 60×90/16. Папір офсетний.</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Друк різографічний. Умовн. друк. арк. 4,3.</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Замовлення № 291. Наклад 50 прим. </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Запорізький національний університет</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69600, м. Запоріжжя, МСП-41</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вул. Жуковського, 66</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Свідоцтво про внесення до Державного реєстру</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ДК   №  2952 від  30.08.2007 р.</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footerReference r:id="rId121" w:type="default"/>
      <w:footerReference r:id="rId122" w:type="even"/>
      <w:pgSz w:h="11907" w:w="8392" w:orient="portrait"/>
      <w:pgMar w:bottom="907" w:top="907" w:left="907" w:right="90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35" w:hanging="37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5">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6">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9">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1080" w:hanging="375"/>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2">
    <w:lvl w:ilvl="0">
      <w:start w:val="1"/>
      <w:numFmt w:val="decimal"/>
      <w:lvlText w:val="%1."/>
      <w:lvlJc w:val="left"/>
      <w:pPr>
        <w:ind w:left="1065"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
    <w:lvl w:ilvl="0">
      <w:start w:val="1"/>
      <w:numFmt w:val="decimal"/>
      <w:lvlText w:val="%1."/>
      <w:lvlJc w:val="left"/>
      <w:pPr>
        <w:ind w:left="1410" w:hanging="705"/>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4">
    <w:lvl w:ilvl="0">
      <w:start w:val="1"/>
      <w:numFmt w:val="decimal"/>
      <w:lvlText w:val="%1."/>
      <w:lvlJc w:val="left"/>
      <w:pPr>
        <w:ind w:left="1065"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5">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6">
    <w:lvl w:ilvl="0">
      <w:start w:val="1"/>
      <w:numFmt w:val="decimal"/>
      <w:lvlText w:val="%1."/>
      <w:lvlJc w:val="left"/>
      <w:pPr>
        <w:ind w:left="1455" w:hanging="75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7">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3"/>
      <w:numFmt w:val="bullet"/>
      <w:lvlText w:val="-"/>
      <w:lvlJc w:val="left"/>
      <w:pPr>
        <w:ind w:left="1770" w:hanging="690"/>
      </w:pPr>
      <w:rPr>
        <w:rFonts w:ascii="Times New Roman" w:cs="Times New Roman" w:eastAsia="Times New Roman" w:hAnsi="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8.png"/><Relationship Id="rId41" Type="http://schemas.openxmlformats.org/officeDocument/2006/relationships/image" Target="media/image19.png"/><Relationship Id="rId44" Type="http://schemas.openxmlformats.org/officeDocument/2006/relationships/image" Target="media/image114.png"/><Relationship Id="rId43" Type="http://schemas.openxmlformats.org/officeDocument/2006/relationships/image" Target="media/image12.png"/><Relationship Id="rId46" Type="http://schemas.openxmlformats.org/officeDocument/2006/relationships/image" Target="media/image118.png"/><Relationship Id="rId45" Type="http://schemas.openxmlformats.org/officeDocument/2006/relationships/image" Target="media/image111.png"/><Relationship Id="rId107" Type="http://schemas.openxmlformats.org/officeDocument/2006/relationships/image" Target="media/image92.png"/><Relationship Id="rId106" Type="http://schemas.openxmlformats.org/officeDocument/2006/relationships/image" Target="media/image65.png"/><Relationship Id="rId105" Type="http://schemas.openxmlformats.org/officeDocument/2006/relationships/image" Target="media/image93.png"/><Relationship Id="rId104" Type="http://schemas.openxmlformats.org/officeDocument/2006/relationships/image" Target="media/image89.png"/><Relationship Id="rId109" Type="http://schemas.openxmlformats.org/officeDocument/2006/relationships/image" Target="media/image15.png"/><Relationship Id="rId108" Type="http://schemas.openxmlformats.org/officeDocument/2006/relationships/image" Target="media/image67.png"/><Relationship Id="rId48" Type="http://schemas.openxmlformats.org/officeDocument/2006/relationships/image" Target="media/image99.png"/><Relationship Id="rId47" Type="http://schemas.openxmlformats.org/officeDocument/2006/relationships/image" Target="media/image110.png"/><Relationship Id="rId49" Type="http://schemas.openxmlformats.org/officeDocument/2006/relationships/image" Target="media/image112.png"/><Relationship Id="rId103" Type="http://schemas.openxmlformats.org/officeDocument/2006/relationships/image" Target="media/image72.png"/><Relationship Id="rId102" Type="http://schemas.openxmlformats.org/officeDocument/2006/relationships/image" Target="media/image115.png"/><Relationship Id="rId101" Type="http://schemas.openxmlformats.org/officeDocument/2006/relationships/image" Target="media/image76.png"/><Relationship Id="rId100" Type="http://schemas.openxmlformats.org/officeDocument/2006/relationships/image" Target="media/image79.png"/><Relationship Id="rId31" Type="http://schemas.openxmlformats.org/officeDocument/2006/relationships/image" Target="media/image9.png"/><Relationship Id="rId30" Type="http://schemas.openxmlformats.org/officeDocument/2006/relationships/image" Target="media/image11.png"/><Relationship Id="rId33" Type="http://schemas.openxmlformats.org/officeDocument/2006/relationships/image" Target="media/image4.png"/><Relationship Id="rId32" Type="http://schemas.openxmlformats.org/officeDocument/2006/relationships/image" Target="media/image13.png"/><Relationship Id="rId35" Type="http://schemas.openxmlformats.org/officeDocument/2006/relationships/image" Target="media/image5.png"/><Relationship Id="rId34" Type="http://schemas.openxmlformats.org/officeDocument/2006/relationships/image" Target="media/image7.png"/><Relationship Id="rId37" Type="http://schemas.openxmlformats.org/officeDocument/2006/relationships/image" Target="media/image17.png"/><Relationship Id="rId36" Type="http://schemas.openxmlformats.org/officeDocument/2006/relationships/image" Target="media/image6.png"/><Relationship Id="rId39" Type="http://schemas.openxmlformats.org/officeDocument/2006/relationships/image" Target="media/image14.png"/><Relationship Id="rId38" Type="http://schemas.openxmlformats.org/officeDocument/2006/relationships/image" Target="media/image30.png"/><Relationship Id="rId20" Type="http://schemas.openxmlformats.org/officeDocument/2006/relationships/image" Target="media/image37.png"/><Relationship Id="rId22" Type="http://schemas.openxmlformats.org/officeDocument/2006/relationships/image" Target="media/image55.png"/><Relationship Id="rId21" Type="http://schemas.openxmlformats.org/officeDocument/2006/relationships/image" Target="media/image38.png"/><Relationship Id="rId24" Type="http://schemas.openxmlformats.org/officeDocument/2006/relationships/image" Target="media/image36.png"/><Relationship Id="rId23" Type="http://schemas.openxmlformats.org/officeDocument/2006/relationships/image" Target="media/image34.png"/><Relationship Id="rId26" Type="http://schemas.openxmlformats.org/officeDocument/2006/relationships/image" Target="media/image29.png"/><Relationship Id="rId121" Type="http://schemas.openxmlformats.org/officeDocument/2006/relationships/footer" Target="footer2.xml"/><Relationship Id="rId25" Type="http://schemas.openxmlformats.org/officeDocument/2006/relationships/image" Target="media/image16.png"/><Relationship Id="rId120" Type="http://schemas.openxmlformats.org/officeDocument/2006/relationships/image" Target="media/image21.png"/><Relationship Id="rId28" Type="http://schemas.openxmlformats.org/officeDocument/2006/relationships/image" Target="media/image35.png"/><Relationship Id="rId27" Type="http://schemas.openxmlformats.org/officeDocument/2006/relationships/image" Target="media/image1.png"/><Relationship Id="rId29" Type="http://schemas.openxmlformats.org/officeDocument/2006/relationships/image" Target="media/image18.png"/><Relationship Id="rId122" Type="http://schemas.openxmlformats.org/officeDocument/2006/relationships/footer" Target="footer1.xml"/><Relationship Id="rId95" Type="http://schemas.openxmlformats.org/officeDocument/2006/relationships/image" Target="media/image86.png"/><Relationship Id="rId94" Type="http://schemas.openxmlformats.org/officeDocument/2006/relationships/image" Target="media/image108.png"/><Relationship Id="rId97" Type="http://schemas.openxmlformats.org/officeDocument/2006/relationships/image" Target="media/image84.png"/><Relationship Id="rId96" Type="http://schemas.openxmlformats.org/officeDocument/2006/relationships/image" Target="media/image83.png"/><Relationship Id="rId11" Type="http://schemas.openxmlformats.org/officeDocument/2006/relationships/image" Target="media/image56.png"/><Relationship Id="rId99" Type="http://schemas.openxmlformats.org/officeDocument/2006/relationships/image" Target="media/image78.png"/><Relationship Id="rId10" Type="http://schemas.openxmlformats.org/officeDocument/2006/relationships/image" Target="media/image66.png"/><Relationship Id="rId98" Type="http://schemas.openxmlformats.org/officeDocument/2006/relationships/image" Target="media/image98.png"/><Relationship Id="rId13" Type="http://schemas.openxmlformats.org/officeDocument/2006/relationships/image" Target="media/image10.png"/><Relationship Id="rId12" Type="http://schemas.openxmlformats.org/officeDocument/2006/relationships/image" Target="media/image2.png"/><Relationship Id="rId91" Type="http://schemas.openxmlformats.org/officeDocument/2006/relationships/image" Target="media/image102.png"/><Relationship Id="rId90" Type="http://schemas.openxmlformats.org/officeDocument/2006/relationships/image" Target="media/image109.png"/><Relationship Id="rId93" Type="http://schemas.openxmlformats.org/officeDocument/2006/relationships/image" Target="media/image85.png"/><Relationship Id="rId92" Type="http://schemas.openxmlformats.org/officeDocument/2006/relationships/image" Target="media/image90.png"/><Relationship Id="rId118" Type="http://schemas.openxmlformats.org/officeDocument/2006/relationships/image" Target="media/image43.png"/><Relationship Id="rId117" Type="http://schemas.openxmlformats.org/officeDocument/2006/relationships/image" Target="media/image40.png"/><Relationship Id="rId116" Type="http://schemas.openxmlformats.org/officeDocument/2006/relationships/image" Target="media/image50.png"/><Relationship Id="rId115" Type="http://schemas.openxmlformats.org/officeDocument/2006/relationships/image" Target="media/image44.png"/><Relationship Id="rId119" Type="http://schemas.openxmlformats.org/officeDocument/2006/relationships/image" Target="media/image23.png"/><Relationship Id="rId15" Type="http://schemas.openxmlformats.org/officeDocument/2006/relationships/image" Target="media/image24.png"/><Relationship Id="rId110" Type="http://schemas.openxmlformats.org/officeDocument/2006/relationships/image" Target="media/image60.png"/><Relationship Id="rId14" Type="http://schemas.openxmlformats.org/officeDocument/2006/relationships/image" Target="media/image3.png"/><Relationship Id="rId17" Type="http://schemas.openxmlformats.org/officeDocument/2006/relationships/image" Target="media/image46.png"/><Relationship Id="rId16" Type="http://schemas.openxmlformats.org/officeDocument/2006/relationships/image" Target="media/image53.png"/><Relationship Id="rId19" Type="http://schemas.openxmlformats.org/officeDocument/2006/relationships/image" Target="media/image41.png"/><Relationship Id="rId114" Type="http://schemas.openxmlformats.org/officeDocument/2006/relationships/image" Target="media/image48.png"/><Relationship Id="rId18" Type="http://schemas.openxmlformats.org/officeDocument/2006/relationships/image" Target="media/image42.png"/><Relationship Id="rId113" Type="http://schemas.openxmlformats.org/officeDocument/2006/relationships/image" Target="media/image58.png"/><Relationship Id="rId112" Type="http://schemas.openxmlformats.org/officeDocument/2006/relationships/image" Target="media/image20.png"/><Relationship Id="rId111" Type="http://schemas.openxmlformats.org/officeDocument/2006/relationships/image" Target="media/image59.png"/><Relationship Id="rId84" Type="http://schemas.openxmlformats.org/officeDocument/2006/relationships/image" Target="media/image47.png"/><Relationship Id="rId83" Type="http://schemas.openxmlformats.org/officeDocument/2006/relationships/image" Target="media/image39.png"/><Relationship Id="rId86" Type="http://schemas.openxmlformats.org/officeDocument/2006/relationships/image" Target="media/image113.png"/><Relationship Id="rId85" Type="http://schemas.openxmlformats.org/officeDocument/2006/relationships/image" Target="media/image26.png"/><Relationship Id="rId88" Type="http://schemas.openxmlformats.org/officeDocument/2006/relationships/image" Target="media/image103.png"/><Relationship Id="rId87" Type="http://schemas.openxmlformats.org/officeDocument/2006/relationships/image" Target="media/image101.png"/><Relationship Id="rId89" Type="http://schemas.openxmlformats.org/officeDocument/2006/relationships/image" Target="media/image104.png"/><Relationship Id="rId80" Type="http://schemas.openxmlformats.org/officeDocument/2006/relationships/image" Target="media/image51.png"/><Relationship Id="rId82" Type="http://schemas.openxmlformats.org/officeDocument/2006/relationships/image" Target="media/image52.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4.png"/><Relationship Id="rId5" Type="http://schemas.openxmlformats.org/officeDocument/2006/relationships/styles" Target="styles.xml"/><Relationship Id="rId6" Type="http://schemas.openxmlformats.org/officeDocument/2006/relationships/image" Target="media/image54.png"/><Relationship Id="rId7" Type="http://schemas.openxmlformats.org/officeDocument/2006/relationships/image" Target="media/image63.png"/><Relationship Id="rId8" Type="http://schemas.openxmlformats.org/officeDocument/2006/relationships/image" Target="media/image62.png"/><Relationship Id="rId73" Type="http://schemas.openxmlformats.org/officeDocument/2006/relationships/image" Target="media/image68.png"/><Relationship Id="rId72" Type="http://schemas.openxmlformats.org/officeDocument/2006/relationships/image" Target="media/image82.png"/><Relationship Id="rId75" Type="http://schemas.openxmlformats.org/officeDocument/2006/relationships/image" Target="media/image75.png"/><Relationship Id="rId74" Type="http://schemas.openxmlformats.org/officeDocument/2006/relationships/image" Target="media/image45.png"/><Relationship Id="rId77" Type="http://schemas.openxmlformats.org/officeDocument/2006/relationships/image" Target="media/image69.png"/><Relationship Id="rId76" Type="http://schemas.openxmlformats.org/officeDocument/2006/relationships/image" Target="media/image49.png"/><Relationship Id="rId79" Type="http://schemas.openxmlformats.org/officeDocument/2006/relationships/image" Target="media/image27.png"/><Relationship Id="rId78" Type="http://schemas.openxmlformats.org/officeDocument/2006/relationships/image" Target="media/image31.png"/><Relationship Id="rId71" Type="http://schemas.openxmlformats.org/officeDocument/2006/relationships/image" Target="media/image77.png"/><Relationship Id="rId70" Type="http://schemas.openxmlformats.org/officeDocument/2006/relationships/image" Target="media/image57.png"/><Relationship Id="rId62" Type="http://schemas.openxmlformats.org/officeDocument/2006/relationships/image" Target="media/image100.png"/><Relationship Id="rId61" Type="http://schemas.openxmlformats.org/officeDocument/2006/relationships/image" Target="media/image88.png"/><Relationship Id="rId64" Type="http://schemas.openxmlformats.org/officeDocument/2006/relationships/image" Target="media/image73.png"/><Relationship Id="rId63" Type="http://schemas.openxmlformats.org/officeDocument/2006/relationships/image" Target="media/image70.png"/><Relationship Id="rId66" Type="http://schemas.openxmlformats.org/officeDocument/2006/relationships/image" Target="media/image81.png"/><Relationship Id="rId65" Type="http://schemas.openxmlformats.org/officeDocument/2006/relationships/image" Target="media/image71.png"/><Relationship Id="rId68" Type="http://schemas.openxmlformats.org/officeDocument/2006/relationships/image" Target="media/image64.png"/><Relationship Id="rId67" Type="http://schemas.openxmlformats.org/officeDocument/2006/relationships/image" Target="media/image80.png"/><Relationship Id="rId60" Type="http://schemas.openxmlformats.org/officeDocument/2006/relationships/image" Target="media/image91.png"/><Relationship Id="rId69" Type="http://schemas.openxmlformats.org/officeDocument/2006/relationships/image" Target="media/image61.png"/><Relationship Id="rId51" Type="http://schemas.openxmlformats.org/officeDocument/2006/relationships/image" Target="media/image96.png"/><Relationship Id="rId50" Type="http://schemas.openxmlformats.org/officeDocument/2006/relationships/image" Target="media/image119.png"/><Relationship Id="rId53" Type="http://schemas.openxmlformats.org/officeDocument/2006/relationships/image" Target="media/image105.png"/><Relationship Id="rId52" Type="http://schemas.openxmlformats.org/officeDocument/2006/relationships/image" Target="media/image87.png"/><Relationship Id="rId55" Type="http://schemas.openxmlformats.org/officeDocument/2006/relationships/image" Target="media/image107.png"/><Relationship Id="rId54" Type="http://schemas.openxmlformats.org/officeDocument/2006/relationships/image" Target="media/image116.png"/><Relationship Id="rId57" Type="http://schemas.openxmlformats.org/officeDocument/2006/relationships/image" Target="media/image97.png"/><Relationship Id="rId56" Type="http://schemas.openxmlformats.org/officeDocument/2006/relationships/image" Target="media/image106.png"/><Relationship Id="rId59" Type="http://schemas.openxmlformats.org/officeDocument/2006/relationships/image" Target="media/image117.png"/><Relationship Id="rId58" Type="http://schemas.openxmlformats.org/officeDocument/2006/relationships/image" Target="media/image9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