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4E5D" w14:textId="77777777" w:rsidR="001B137B" w:rsidRDefault="001B137B" w:rsidP="001B1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</w:pPr>
    </w:p>
    <w:p w14:paraId="771B8DE8" w14:textId="0A708DF4" w:rsidR="001B137B" w:rsidRPr="001B137B" w:rsidRDefault="001B137B" w:rsidP="001B137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b/>
          <w:bCs/>
          <w:spacing w:val="-3"/>
          <w:kern w:val="0"/>
          <w:sz w:val="26"/>
          <w:szCs w:val="26"/>
          <w:lang w:val="uk-UA" w:eastAsia="ru-RU"/>
          <w14:ligatures w14:val="none"/>
        </w:rPr>
        <w:t>Питання підсумкового контролю</w:t>
      </w:r>
    </w:p>
    <w:p w14:paraId="686D67D5" w14:textId="77777777" w:rsid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 xml:space="preserve">Права людини – суспільний феномен сучасності. </w:t>
      </w:r>
    </w:p>
    <w:p w14:paraId="3FA3B6AF" w14:textId="77777777" w:rsid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>Сучасна концепція прав людини: міжнародні та європейські стандарти.</w:t>
      </w:r>
    </w:p>
    <w:p w14:paraId="622596E8" w14:textId="77777777" w:rsid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 xml:space="preserve"> Правозахисна або </w:t>
      </w:r>
      <w:proofErr w:type="spellStart"/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>адвокаційна</w:t>
      </w:r>
      <w:proofErr w:type="spellEnd"/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 xml:space="preserve"> журналістика. </w:t>
      </w:r>
    </w:p>
    <w:p w14:paraId="4646609B" w14:textId="77777777" w:rsid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 xml:space="preserve">Права людини та журналістська етика. </w:t>
      </w:r>
    </w:p>
    <w:p w14:paraId="25B490EA" w14:textId="77777777" w:rsidR="001B137B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</w:pPr>
      <w:proofErr w:type="spellStart"/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>Антидискримінаційна</w:t>
      </w:r>
      <w:proofErr w:type="spellEnd"/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 xml:space="preserve"> практика мас-медійної </w:t>
      </w:r>
      <w:proofErr w:type="spellStart"/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>діяльности</w:t>
      </w:r>
      <w:proofErr w:type="spellEnd"/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 xml:space="preserve">. </w:t>
      </w:r>
    </w:p>
    <w:p w14:paraId="0999CA01" w14:textId="28A38F13" w:rsidR="001B137B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:lang w:val="uk-UA" w:eastAsia="ru-RU"/>
          <w14:ligatures w14:val="none"/>
        </w:rPr>
        <w:t>Масові уявлення про розуміння прав людини, ставлення до них: соціально-психологічний портрет.</w:t>
      </w:r>
    </w:p>
    <w:p w14:paraId="45B7CEC5" w14:textId="77777777" w:rsidR="001B137B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>Механізм</w:t>
      </w:r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>и</w:t>
      </w:r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 захисту прав людини в Україні.</w:t>
      </w:r>
      <w:r w:rsidRPr="001B137B">
        <w:rPr>
          <w:rFonts w:ascii="Times New Roman" w:eastAsia="Times New Roman" w:hAnsi="Times New Roman" w:cs="Times New Roman"/>
          <w:i/>
          <w:kern w:val="0"/>
          <w:sz w:val="26"/>
          <w:szCs w:val="26"/>
          <w:lang w:val="uk-UA" w:eastAsia="ru-RU"/>
          <w14:ligatures w14:val="none"/>
        </w:rPr>
        <w:t xml:space="preserve"> </w:t>
      </w:r>
    </w:p>
    <w:p w14:paraId="648359A7" w14:textId="77777777" w:rsid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Правозахисники, правозахисні організації: рекомендації для журналістів стосовно співпраці. </w:t>
      </w:r>
    </w:p>
    <w:p w14:paraId="638DDBA9" w14:textId="77777777" w:rsid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Інститут уповноваженого ВР з прав людини, інших державних інституцій: пропозиції для </w:t>
      </w:r>
      <w:proofErr w:type="spellStart"/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>медійників</w:t>
      </w:r>
      <w:proofErr w:type="spellEnd"/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. </w:t>
      </w:r>
    </w:p>
    <w:p w14:paraId="231C3F32" w14:textId="77777777" w:rsid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>Права людини та професійні права журналістів.</w:t>
      </w:r>
    </w:p>
    <w:p w14:paraId="5D520AAC" w14:textId="77777777" w:rsid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Мова ворожнечі в медіа. </w:t>
      </w:r>
    </w:p>
    <w:p w14:paraId="01A75094" w14:textId="77777777" w:rsid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Основні підходи до розуміння та тлумачення поняття «мова ворожнечі». </w:t>
      </w:r>
    </w:p>
    <w:p w14:paraId="2487A0DD" w14:textId="77777777" w:rsid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</w:pPr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Міжнародні стандарти та підходи до визначення мови ворожнечі в журналістських матеріалах. </w:t>
      </w:r>
    </w:p>
    <w:p w14:paraId="3FD611FE" w14:textId="77777777" w:rsidR="001B137B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lang w:val="uk-UA"/>
        </w:rPr>
      </w:pPr>
      <w:r w:rsidRPr="001B137B">
        <w:rPr>
          <w:rFonts w:ascii="Times New Roman" w:eastAsia="Times New Roman" w:hAnsi="Times New Roman" w:cs="Times New Roman"/>
          <w:kern w:val="0"/>
          <w:sz w:val="26"/>
          <w:szCs w:val="26"/>
          <w:lang w:val="uk-UA" w:eastAsia="ru-RU"/>
          <w14:ligatures w14:val="none"/>
        </w:rPr>
        <w:t>Толерантність, етичність, поміркованість у мас-медійних текстах на дражливі теми: як уникнути мови ненависті.</w:t>
      </w:r>
    </w:p>
    <w:p w14:paraId="65CF6F7A" w14:textId="77777777" w:rsidR="001B137B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lang w:val="uk-UA"/>
        </w:rPr>
      </w:pPr>
      <w:r w:rsidRPr="001B137B">
        <w:rPr>
          <w:rFonts w:ascii="Times New Roman" w:eastAsia="Calibri" w:hAnsi="Times New Roman" w:cs="Times New Roman"/>
          <w:kern w:val="0"/>
          <w:sz w:val="28"/>
          <w:szCs w:val="28"/>
          <w:lang w:val="uk-UA"/>
          <w14:ligatures w14:val="none"/>
        </w:rPr>
        <w:t>Проблеми дискримінованих у журналістських матеріалах</w:t>
      </w:r>
      <w:r w:rsidRPr="001B137B">
        <w:rPr>
          <w:rFonts w:ascii="Times New Roman" w:eastAsia="Calibri" w:hAnsi="Times New Roman" w:cs="Times New Roman"/>
          <w:i/>
          <w:kern w:val="0"/>
          <w:sz w:val="28"/>
          <w:szCs w:val="28"/>
          <w:lang w:val="uk-UA"/>
          <w14:ligatures w14:val="none"/>
        </w:rPr>
        <w:t>.</w:t>
      </w:r>
    </w:p>
    <w:p w14:paraId="7FA8F93A" w14:textId="77777777" w:rsidR="001B137B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lang w:val="uk-UA"/>
        </w:rPr>
      </w:pPr>
      <w:r w:rsidRPr="001B137B">
        <w:rPr>
          <w:rFonts w:ascii="Times New Roman" w:eastAsia="Calibri" w:hAnsi="Times New Roman" w:cs="Times New Roman"/>
          <w:i/>
          <w:kern w:val="0"/>
          <w:sz w:val="28"/>
          <w:szCs w:val="28"/>
          <w:lang w:val="uk-UA"/>
          <w14:ligatures w14:val="none"/>
        </w:rPr>
        <w:t xml:space="preserve"> </w:t>
      </w:r>
      <w:r w:rsidRPr="001B137B">
        <w:rPr>
          <w:rFonts w:ascii="Times New Roman" w:eastAsia="Calibri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Висвітлення проблематики людей із інвалідністю. </w:t>
      </w:r>
    </w:p>
    <w:p w14:paraId="6DF58F35" w14:textId="77777777" w:rsidR="001B137B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lang w:val="uk-UA"/>
        </w:rPr>
      </w:pPr>
      <w:r w:rsidRPr="001B137B">
        <w:rPr>
          <w:rFonts w:ascii="Times New Roman" w:eastAsia="Calibri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Теми ВПО, мігрантів і біженців. </w:t>
      </w:r>
    </w:p>
    <w:p w14:paraId="5C64EAE8" w14:textId="77777777" w:rsidR="001B137B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lang w:val="uk-UA"/>
        </w:rPr>
      </w:pPr>
      <w:r w:rsidRPr="001B137B">
        <w:rPr>
          <w:rFonts w:ascii="Times New Roman" w:eastAsia="Calibri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Проблеми етнонаціональної та </w:t>
      </w:r>
      <w:proofErr w:type="spellStart"/>
      <w:r w:rsidRPr="001B137B">
        <w:rPr>
          <w:rFonts w:ascii="Times New Roman" w:eastAsia="Calibri" w:hAnsi="Times New Roman" w:cs="Times New Roman"/>
          <w:kern w:val="0"/>
          <w:sz w:val="26"/>
          <w:szCs w:val="26"/>
          <w:lang w:val="uk-UA" w:eastAsia="ru-RU"/>
          <w14:ligatures w14:val="none"/>
        </w:rPr>
        <w:t>мовної</w:t>
      </w:r>
      <w:proofErr w:type="spellEnd"/>
      <w:r w:rsidRPr="001B137B">
        <w:rPr>
          <w:rFonts w:ascii="Times New Roman" w:eastAsia="Calibri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 дискримінації.</w:t>
      </w:r>
    </w:p>
    <w:p w14:paraId="2F56BC52" w14:textId="77777777" w:rsidR="001B137B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lang w:val="uk-UA"/>
        </w:rPr>
      </w:pPr>
      <w:r w:rsidRPr="001B137B">
        <w:rPr>
          <w:rFonts w:ascii="Times New Roman" w:eastAsia="Calibri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 Висвітлення питань сексуальної орієнтації та ґендерної ідентичності. </w:t>
      </w:r>
    </w:p>
    <w:p w14:paraId="24D19702" w14:textId="77777777" w:rsidR="001B137B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lang w:val="uk-UA"/>
        </w:rPr>
      </w:pPr>
      <w:r w:rsidRPr="001B137B">
        <w:rPr>
          <w:rFonts w:ascii="Times New Roman" w:eastAsia="Calibri" w:hAnsi="Times New Roman" w:cs="Times New Roman"/>
          <w:kern w:val="0"/>
          <w:sz w:val="26"/>
          <w:szCs w:val="26"/>
          <w:lang w:val="uk-UA" w:eastAsia="ru-RU"/>
          <w14:ligatures w14:val="none"/>
        </w:rPr>
        <w:t xml:space="preserve">Права дитини та літніх людей у ЗМІ. </w:t>
      </w:r>
    </w:p>
    <w:p w14:paraId="19CDC95B" w14:textId="2D83654A" w:rsidR="007F3FE9" w:rsidRPr="001B137B" w:rsidRDefault="001B137B" w:rsidP="001B137B">
      <w:pPr>
        <w:pStyle w:val="a3"/>
        <w:numPr>
          <w:ilvl w:val="0"/>
          <w:numId w:val="1"/>
        </w:numPr>
        <w:spacing w:after="0" w:line="240" w:lineRule="auto"/>
        <w:ind w:left="-851" w:firstLine="1559"/>
        <w:jc w:val="both"/>
        <w:rPr>
          <w:lang w:val="uk-UA"/>
        </w:rPr>
      </w:pPr>
      <w:r w:rsidRPr="001B137B">
        <w:rPr>
          <w:rFonts w:ascii="Times New Roman" w:eastAsia="Calibri" w:hAnsi="Times New Roman" w:cs="Times New Roman"/>
          <w:kern w:val="0"/>
          <w:sz w:val="26"/>
          <w:szCs w:val="26"/>
          <w:lang w:val="uk-UA" w:eastAsia="ru-RU"/>
          <w14:ligatures w14:val="none"/>
        </w:rPr>
        <w:t>Проблематика інших вразливих груп (ВПО, ВІЛ-інфіковані, наркозалежні, працівники секс-індустрії, ув’язнені) в мас-медійному просторі.</w:t>
      </w:r>
    </w:p>
    <w:sectPr w:rsidR="007F3FE9" w:rsidRPr="001B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61981"/>
    <w:multiLevelType w:val="hybridMultilevel"/>
    <w:tmpl w:val="8A00BC52"/>
    <w:lvl w:ilvl="0" w:tplc="1CA683D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397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7B"/>
    <w:rsid w:val="001B137B"/>
    <w:rsid w:val="007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630E"/>
  <w15:chartTrackingRefBased/>
  <w15:docId w15:val="{640E7F08-8282-4B06-8BE4-EF0C7121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2024-03-13T10:18:00Z</dcterms:created>
  <dcterms:modified xsi:type="dcterms:W3CDTF">2024-03-13T10:22:00Z</dcterms:modified>
</cp:coreProperties>
</file>