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4518" w14:textId="77777777" w:rsidR="00986D51" w:rsidRDefault="00986D51" w:rsidP="00986D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val="uk-UA" w:eastAsia="ru-RU"/>
        </w:rPr>
        <w:t xml:space="preserve">Глосарій </w:t>
      </w:r>
    </w:p>
    <w:p w14:paraId="6BBF79F7" w14:textId="77777777" w:rsidR="00986D51" w:rsidRDefault="00986D51" w:rsidP="00986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(Словник – довідник основних термінів з дисципліни </w:t>
      </w:r>
    </w:p>
    <w:p w14:paraId="2BB6E72D" w14:textId="01A7F913" w:rsidR="00986D51" w:rsidRPr="006915E5" w:rsidRDefault="00986D51" w:rsidP="006915E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«</w:t>
      </w:r>
      <w:r w:rsidR="006915E5" w:rsidRPr="006915E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ru-RU"/>
        </w:rPr>
        <w:t>Державно-приватне партнерство у промисловості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» )</w:t>
      </w:r>
    </w:p>
    <w:p w14:paraId="47775308" w14:textId="28C4FCB9" w:rsidR="003147FC" w:rsidRPr="009F3751" w:rsidRDefault="009F3751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33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Аналіз ефективності</w:t>
      </w:r>
      <w:r w:rsidRPr="009F375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- </w:t>
      </w:r>
      <w:r w:rsidRPr="00E6331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Порядок оцінки та схвалення (відмови від схвалення) пропозиції про здійснення ДПП, передбачений Законом України «Про державно-приватне партнерство» та Постановою КМУ №384 від 11.04.2011 р</w:t>
      </w:r>
    </w:p>
    <w:p w14:paraId="53748579" w14:textId="43D76763" w:rsidR="00E6331A" w:rsidRPr="009F3751" w:rsidRDefault="009F3751" w:rsidP="00543C1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r w:rsidRPr="00E633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Аналіз співвідношення вигід і витрат (CBA)</w:t>
      </w:r>
      <w:r w:rsidRPr="009F375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- </w:t>
      </w:r>
      <w:r w:rsidRPr="00E6331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 аналізу, який використовується для порівняння двох або більше варіантів реалізації проєкту або рішення, побудований на основі економічних потоків, належним чином скоригованих згідно деяких моделей. CBA в основному використовується для оцінки соціально-економічної доцільності або цінності обраного проєкту або проєкту, що підлягає оцінці (незалежно від способу укладання договорів)</w:t>
      </w:r>
    </w:p>
    <w:p w14:paraId="5628421C" w14:textId="1B4C322D" w:rsidR="00E6331A" w:rsidRPr="009F3751" w:rsidRDefault="009F3751" w:rsidP="00543C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633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Аналіз економічної ефективності (CEA)</w:t>
      </w:r>
      <w:r w:rsidRPr="009F375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- </w:t>
      </w:r>
      <w:r w:rsidRPr="00E6331A">
        <w:rPr>
          <w:rFonts w:ascii="Times New Roman" w:hAnsi="Times New Roman" w:cs="Times New Roman"/>
          <w:color w:val="000000"/>
          <w:sz w:val="24"/>
          <w:szCs w:val="24"/>
          <w:lang w:val="uk-UA"/>
        </w:rPr>
        <w:t>CEA вивчає зв'язок вартості реалізації альтернативного рішення з вимірюванням цілей проєкту, або з його ключовими результатами або перевагами. Наприклад, це може бути економія у вартісному вираженні, досягнута за рахунок скорочення часу при використанні різних систем громадського транспорту</w:t>
      </w:r>
    </w:p>
    <w:p w14:paraId="552DB7FF" w14:textId="3F6E675C" w:rsidR="009F3751" w:rsidRPr="009F3751" w:rsidRDefault="009F3751" w:rsidP="00543C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633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Акціонери</w:t>
      </w:r>
      <w:r w:rsidRPr="009F375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- </w:t>
      </w:r>
      <w:r w:rsidRPr="00E6331A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Інвестори, які володіють акціями компанії спеціального призначення (SPV). Інвестор може вкладати кошти в інші інструменти, але зазвичай також вкладає кошти в акції</w:t>
      </w:r>
    </w:p>
    <w:p w14:paraId="6C4FF495" w14:textId="0A564EBD" w:rsidR="009F3751" w:rsidRPr="009F3751" w:rsidRDefault="009F3751" w:rsidP="00543C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633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Альтернативна вартість</w:t>
      </w:r>
      <w:r w:rsidRPr="009F375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- </w:t>
      </w:r>
      <w:r w:rsidRPr="00E6331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Вигода, яку можна було отримати, зробивши альтернативний вибір</w:t>
      </w:r>
    </w:p>
    <w:p w14:paraId="2C175073" w14:textId="1040FFEB" w:rsidR="009F3751" w:rsidRPr="009F3751" w:rsidRDefault="009F3751" w:rsidP="00543C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633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Базовий сценарій</w:t>
      </w:r>
      <w:r w:rsidRPr="009F37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- </w:t>
      </w:r>
      <w:r w:rsidRPr="00E6331A">
        <w:rPr>
          <w:rFonts w:ascii="Times New Roman" w:hAnsi="Times New Roman" w:cs="Times New Roman"/>
          <w:color w:val="000000"/>
          <w:sz w:val="24"/>
          <w:szCs w:val="24"/>
          <w:lang w:val="uk-UA"/>
        </w:rPr>
        <w:t>Фінансовий опис проєкту з точки зору витрат, доходів та висновків, сформованих в результаті дослідження (розрахунку). Він поєднує у собі різні змінні з точки зору чутливості для того, щоб мати змогу розглянути найбільш вірогідний сценарій</w:t>
      </w:r>
    </w:p>
    <w:p w14:paraId="5385644C" w14:textId="6CBDA4EB" w:rsidR="009F3751" w:rsidRPr="009F3751" w:rsidRDefault="009F3751" w:rsidP="00543C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633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Базовий дизайн</w:t>
      </w:r>
      <w:r w:rsidRPr="009F37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- </w:t>
      </w:r>
      <w:r w:rsidRPr="00E6331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План технічного рішення, призначений для відтворення іншими. Треті сторони можуть мати право покращувати або змінювати дизайн в міру необхідності</w:t>
      </w:r>
    </w:p>
    <w:p w14:paraId="37E58ACD" w14:textId="18EFA820" w:rsidR="009F3751" w:rsidRPr="009F3751" w:rsidRDefault="009F3751" w:rsidP="00543C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E633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Бали за виконання (досягнення результативних показників)</w:t>
      </w:r>
      <w:r w:rsidRPr="009F37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- </w:t>
      </w:r>
      <w:r w:rsidRPr="00E6331A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Система, яка присвоює «бали» за кожне порушення договору для того, щоб відстежувати і реєструвати порушення і, отже, оцінювати досягнення результативних показників, і, зокрема, з метою контролю ризику потрапляння приватного партнера в ситуацію, коли порушення відбуваються постійно (систематично)</w:t>
      </w:r>
    </w:p>
    <w:p w14:paraId="41A5D362" w14:textId="2216E760" w:rsidR="009F3751" w:rsidRPr="009F3751" w:rsidRDefault="009F3751" w:rsidP="00543C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E633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Бізнес-кейс</w:t>
      </w:r>
      <w:r w:rsidRPr="009F37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- </w:t>
      </w:r>
      <w:r w:rsidRPr="00E6331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Документ, в якому сформульовано обґрунтування здійснення інвестицій</w:t>
      </w:r>
    </w:p>
    <w:p w14:paraId="6987B83E" w14:textId="77777777" w:rsidR="009F3751" w:rsidRDefault="009F3751" w:rsidP="00543C1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14:paraId="3154CA8C" w14:textId="743D2A2B" w:rsidR="00543C16" w:rsidRPr="003147FC" w:rsidRDefault="00543C16" w:rsidP="00543C1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Кроки, які проходять проєкти ДПП для того, щоб бути реалізованими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кроки включають визначення проєкту, оцінку пропозиції про здійснення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ДПП, структурування проєкту ДПП і підготовку проєкту договору,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конкурсними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процесами і присудження договору, а також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договором</w:t>
      </w:r>
    </w:p>
    <w:p w14:paraId="1C2E252C" w14:textId="77777777" w:rsidR="00543C16" w:rsidRDefault="00543C16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14:paraId="7AB90036" w14:textId="6C372FB5" w:rsidR="003147FC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Підготовка проєкту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Складається із заходів, що здійснюються державною стороною для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зниження ризиків за проєктом і вирішення питань, що належать до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компетенції уряду до оголошення конкурсу за проєктом</w:t>
      </w:r>
    </w:p>
    <w:p w14:paraId="59A02A64" w14:textId="485B8122" w:rsidR="003147FC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lastRenderedPageBreak/>
        <w:t>Підвищення кредитоспроможності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Інструменти, які структуровані, в основному, для забезпечення більшого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захисту кредиторів та, відповідно, підвищення кредитного рейтингу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боргового інструменту. Якщо засоби підвищення кредитоспроможності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надаються державним сектором, вони виступають певним видом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державного фінансування (в поновлюваному режимі), яке не обов'язково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може забезпечувати м'які умови кредитування, їх застосування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безпосередньо знижує середню вартість капіталу проєкту; замість цього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вони повинні дозволити кредиторам встановлювати більш низькі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процентні ставки через підвищення кредитного рейтингу.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Засоби підвищення кредитоспроможності також можуть надаватися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багатосторонніми банками розвитку (ББР), експортними кредитними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агентствами (ЕКА) і 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лінійними установами приватного сектора</w:t>
      </w:r>
    </w:p>
    <w:p w14:paraId="5A3257E9" w14:textId="77777777" w:rsidR="003147FC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Пільгові умови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Умови більш сприятливі, ніж поточні ринкові умови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F717804" w14:textId="77777777" w:rsidR="003147FC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Пільгові кредити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Пільговий кредит надається державним органом. Зазвичай це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субординований борг, але він є старшим відносно капіталу, включаючи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субординований борг, наданий прямими інвесторами. Також часто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пільгова позика надається у формі пайової позики, тобто уряд (орган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 самоврядування) отримує частину прибутку від проєкту в обмін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умови, що є нижче ринкових. Винагорода і права на отримання такого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кредиту повинні бути чітко описані в договорі</w:t>
      </w:r>
    </w:p>
    <w:p w14:paraId="52D08DDB" w14:textId="05871CF6" w:rsidR="003147FC" w:rsidRPr="003147FC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Плата за доступність (експлуатаційну готовність)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Виплати, що здійснюються протягом усього терміну дії договору, в обмін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те, що приватний партнер забезпечує доступ до інфраструктури та надає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відповідні послуги. Виплати можуть підлягати зменшенню залежно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фактичного рівня доступності, визначеного в договорі ДПП, та від рівня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досягнення показників результативності. Це загальноприйнята форма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здійснення виплат в проєктах ДПП, що фінансуються державою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(неконцесійних ДПП)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законодавства України (Закон України «Про державно-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приватне партнерство») - плата за експлуатаційну готовність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обумовлені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договором, укладеним в рамках державно-приватного партнерства,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платежі на користь приватного партнера, що сплачуються після прийняття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об’єкта державно-приватного партнерства в експлуатацію, розмір яких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залежить від досягнення приватним партнером показників</w:t>
      </w:r>
    </w:p>
    <w:p w14:paraId="185F122C" w14:textId="77777777" w:rsidR="003147FC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Платіж в разі припинення договору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Платіж, що здійснюється урядом (органом місцевого самоврядування) за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договором ДПП/концесійним договором після припинення договору. Це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також відомо як «компенсація в разі припинення договору»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C6328A9" w14:textId="77777777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Платежі з боку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держави в розрахунку за одиницю транспорту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Збори або тарифи, що сплачуються державою замість користувача.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Платежі з боку держави в розрахунку за одиницю транспорту- один з двох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основних видів платіжних механізмів</w:t>
      </w:r>
    </w:p>
    <w:p w14:paraId="09CDEBDA" w14:textId="77777777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Показники</w:t>
      </w:r>
      <w:r w:rsidR="006915E5" w:rsidRPr="006915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результативності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Кількісні та якісні показники щодо надійності та доступності об’єкта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державно-приватного партнерства, що повинні бути досягнуті в результаті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реалізації проекту, що здійснюється на умовах державно-приватного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партнерства, з урахуванням його мети та завдань</w:t>
      </w:r>
    </w:p>
    <w:p w14:paraId="2027CC21" w14:textId="77777777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Попередня</w:t>
      </w:r>
      <w:r w:rsidR="006915E5" w:rsidRPr="006915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кваліфікація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Перевірка потенційних кандидатів на предмет їх відповідності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кваліфікаційним критеріям за принципом «прохідний / не прохідний»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перед запитом конкурсних пропозицій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B723154" w14:textId="77777777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Події, що підлягають</w:t>
      </w:r>
      <w:r w:rsidR="006915E5" w:rsidRPr="006915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компенсації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Події, що передбачають ризики, в результаті настання яких, приватний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партнер/концесіонер має право отримати фінансову компенсацію, якщо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подія мала місце, у розмірі, що є 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співмірним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фінансовому впливу, якій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відчув приватний партнер/концесіонер). Компенсація може бути лише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частковою, і в цьому випадку подію може бути віднесено до категорії подій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спільного ризику</w:t>
      </w:r>
    </w:p>
    <w:p w14:paraId="2C09674B" w14:textId="77777777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Порушення договору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Недотримання умов договору. Це може привести до сплати штрафів, а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також до ситуації невиконання зобов'язань або невиконання договору.</w:t>
      </w:r>
    </w:p>
    <w:p w14:paraId="35332ECB" w14:textId="77777777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Попередні умови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Умови, які повинна виконати проєктна компанія, що реалізує проєкт, до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отримання кредиту або до вступу в дію договору ДПП/концесійного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договору за цим проєктом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Повернення 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або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Передача об’єктів ДПП/концесії і відповідальності за ці активи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державному партнеру/ 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концесієдавцю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після припинення або закінчення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терміну дії договору ДПП/концесійного договору. Також може називатися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передачею</w:t>
      </w:r>
    </w:p>
    <w:p w14:paraId="153C2C46" w14:textId="6CBD311D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Процес конкурентного</w:t>
      </w:r>
      <w:r w:rsidR="006915E5" w:rsidRPr="006915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діалогу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 конкурсного процесу, в якому присутній особливий етап, що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називається «етап діалогу», під час якого обговорюється запит про умови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послуг, або ведеться діалог між органом влади та кандидатами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 індивідуальній основі), або потенційними учасниками конкурсу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(попередньо відібраними, чи внесеними в короткий список на підставі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запиту про кваліфікацію)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Ця діяльність спрямована на уточнення положень договору і умов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конкурсної документації до здійснення запиту комерційної пропозиції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(або остаточної пропозиції, якщо деякі попередні пропозиції було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оголошено під час діалогу, зазвичай без зобов'язань).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концесію» (ч.1 ст.18), конкурентний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діалог є різновидом концесійного конкурсу та може бути застосований у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випадку, якщо концесіє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давець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може чітко визначити технічні, якісні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характеристики проекту, що здійснюється на умовах концесії, або якщо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невідомо, які можуть запропонувати потенційні учасники конкурсу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технічні, фінансові та юридичні рішення і для прийняття оптимального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необхідно провести переговори з учасниками (у разі реалізації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інноваційних проектів, великих комплексних інфраструктурних проектів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тощо)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AE94B08" w14:textId="77777777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Претендент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 з приватного сектору, який подав заявку на участь в конкурсі, з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моменту подання заявки й до обрання (відхилення) його участі у подачі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конкурсних пропозицій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93BDD1A" w14:textId="77777777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Прямі зобов'язання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Зобов'язання стосовно оплати, які будуть узяті незалежно від настання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невизначеної майбутньої події</w:t>
      </w:r>
    </w:p>
    <w:p w14:paraId="3103D305" w14:textId="77777777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Проєкти ДПП, що</w:t>
      </w:r>
      <w:r w:rsidR="006915E5" w:rsidRPr="006915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реалізують за</w:t>
      </w:r>
      <w:r w:rsidR="006915E5" w:rsidRPr="006915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державного</w:t>
      </w:r>
      <w:r w:rsidR="006915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фінансування</w:t>
      </w:r>
      <w:r w:rsidR="006915E5" w:rsidRPr="006915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(неконцесійні ДПП)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Проєкти ДПП, в яких значна частина доходів приватного партнера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складається з бюджетних платежів, зазвичай пов'язаних з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результативністю або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використанням</w:t>
      </w:r>
    </w:p>
    <w:p w14:paraId="73A86D39" w14:textId="77777777" w:rsidR="006915E5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Проєкти з «нульового</w:t>
      </w:r>
      <w:r w:rsidR="006915E5" w:rsidRPr="006915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циклу»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Проєкти, пов'язані з будівництвом абсолютно нової інфраструктури, або зі</w:t>
      </w:r>
      <w:r w:rsidR="0069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зведенням нових об'єктів, або із значним оновленням існуючої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інфраструктури</w:t>
      </w:r>
    </w:p>
    <w:p w14:paraId="429304F6" w14:textId="77777777" w:rsidR="00543C1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Профільне відомство</w:t>
      </w:r>
      <w:r w:rsidR="006915E5" w:rsidRPr="00543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(або профільне</w:t>
      </w:r>
      <w:r w:rsidR="006915E5" w:rsidRPr="00543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міністерство)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Урядові міністерства або відомства, відповідальні за розробку політики,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планування та забезпечення надання певних публічних послуг. Типові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приклади таких відомств включають Міністерство інфраструктури і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Міністерство охорони здоров'я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 ДПП або цикл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ДПП</w:t>
      </w:r>
    </w:p>
    <w:p w14:paraId="68DFC5CF" w14:textId="03F5220C" w:rsidR="00543C1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Пропозиція про</w:t>
      </w:r>
      <w:r w:rsidR="00543C16" w:rsidRPr="00543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здійснення ДПП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Техніко-економічне обґрунтування реалізації проєкту на умовах ДПП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являє собою о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цінк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основних параметрів проєкту ДПП, яка використовується для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про доцільність проведення більш глибоких і вартісних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досліджень, таких як техніко-економічне обґрунтування і розробка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договору</w:t>
      </w:r>
    </w:p>
    <w:p w14:paraId="265ECB00" w14:textId="77777777" w:rsidR="00543C1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Приватне</w:t>
      </w:r>
      <w:r w:rsidR="00543C16" w:rsidRPr="00543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фінансування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Будь-яке фінансування, що надається приватним сектором, яке піддається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ризику, тобто залежить від фінансових показників проєкту</w:t>
      </w:r>
    </w:p>
    <w:p w14:paraId="71E66208" w14:textId="77777777" w:rsidR="00543C1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Приватний партнер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Контрагент державного партнера за договором ДПП. Юридична особа, з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якою було укладено договір на створення (будівництво) і експлуатацію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об’єкту державної (комунальної) власності і яка зазвичай створюється у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вигляді компанії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спеціального призначення (SPV). Цей термін також може відноситися до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акціонерів-учасників SPV, проте більш точним визначенням таких осіб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буде «прямі інвестори» або «акціонери»</w:t>
      </w:r>
    </w:p>
    <w:p w14:paraId="644FAB27" w14:textId="77777777" w:rsidR="00543C1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Приватна сторона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Альтернативна загальна назва для позначення приватного партнера. Під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приватною стороною або сторонами можуть матися на увазі також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приватні учасники, які беруть участь в проєкті (включаючи спонсорів,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підрядників, кредиторів та інвесторів)</w:t>
      </w:r>
    </w:p>
    <w:p w14:paraId="1916558D" w14:textId="77777777" w:rsidR="00543C1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Прийнятий ризик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Вартість тих ризиків або частин ризику, які несе держава в рамках проєкт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ДПП</w:t>
      </w:r>
    </w:p>
    <w:p w14:paraId="67C1B7AD" w14:textId="77777777" w:rsidR="00543C1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Право на</w:t>
      </w:r>
      <w:r w:rsidR="00543C16" w:rsidRPr="00543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прокладання мережі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Права на смугу земельної ділянки, яка зазвичай необхідна для мережевих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інфраструктурних проєктів, таких як прокладання доріг або трубопроводів</w:t>
      </w:r>
    </w:p>
    <w:p w14:paraId="544524C9" w14:textId="77777777" w:rsidR="00543C1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Премія за ризик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Додаткова необхідна норма окупності, яка повинна виплачуватися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інвесторам, які беруть участь в ризикованих інвестиціях, для компенсації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ризику</w:t>
      </w:r>
    </w:p>
    <w:p w14:paraId="5D25DC3A" w14:textId="77777777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Припинення дії</w:t>
      </w:r>
      <w:r w:rsidR="00543C16" w:rsidRPr="00543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договору за</w:t>
      </w:r>
      <w:r w:rsidR="00543C16" w:rsidRPr="00543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ініціативою</w:t>
      </w:r>
      <w:r w:rsidR="00543C16" w:rsidRPr="00543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державного партнера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Припинення дії договору урядом (органом місцевого самоврядування) за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відсутності причини невиконання зобов'язань або інших причин для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припинення. Уряд (орган місцевого самоврядування) завжди залишає за</w:t>
      </w:r>
      <w:r w:rsidR="00543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собою право достроково розірвати договір на підставі захисту державних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інтересів. Це також відомо як «одностороннє розірвання договору»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653B029" w14:textId="5261D7C8" w:rsidR="003147FC" w:rsidRPr="003147FC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Претендент,</w:t>
      </w:r>
      <w:r w:rsidR="00572A76" w:rsidRP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включений в</w:t>
      </w:r>
      <w:r w:rsidR="00572A76" w:rsidRP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короткий список</w:t>
      </w:r>
      <w:r w:rsidR="00572A76" w:rsidRP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(учасник конкурсу)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Претенденти, які запрошуються для подання конкурсних пропозицій за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результатами кваліфікаційного відбору. Претенденти, включені до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короткого списку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572A76" w:rsidRPr="00572A76">
        <w:rPr>
          <w:rStyle w:val="rynqvb"/>
          <w:rFonts w:ascii="Times New Roman" w:hAnsi="Times New Roman" w:cs="Times New Roman"/>
          <w:i/>
          <w:iCs/>
          <w:sz w:val="24"/>
          <w:szCs w:val="24"/>
          <w:lang w:val="en-US"/>
        </w:rPr>
        <w:t>short list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стають учасниками конкурсу</w:t>
      </w:r>
    </w:p>
    <w:p w14:paraId="51434E82" w14:textId="77777777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Прямий договір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Договір між державним партнером, приватним партнером та кредитором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(кредиторами), що визначає порядок та умови зміни приватного партнера,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також може передбачати зобов’язання сторін договору, пов’язані зі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зміною приватного партнера, виконання фінансових зобов’язань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приватного партнера перед кредитором (кредиторами) та інші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положення, спрямовані на недопущення розірвання договору, укладеного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рамках державно-приватного партнерства</w:t>
      </w:r>
    </w:p>
    <w:p w14:paraId="07468465" w14:textId="77777777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Рефінансування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Зміна фінансової структури та / або фінансових умов шляхом перегляду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існуючого боргу, або залучення нових коштів для заміни існуючих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постачальників фінансування. Деякі договори передбачають розділення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доходів від рефінансування з державним партнером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7E8FA956" w14:textId="77777777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Рішення про спосіб</w:t>
      </w:r>
      <w:r w:rsidR="00572A76" w:rsidRP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реалізації проєкту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про те, як краще здійснити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закупівлю проєкту. Чи забезпечує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закупівля у форматі ДПП краще співвідношення ціни і якості, ніж найкраща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практична модель реалізації проєкту державним сектором?</w:t>
      </w:r>
    </w:p>
    <w:p w14:paraId="49A381B6" w14:textId="77777777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Ризик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Невизначена подія, яка, в разі настання, може привести до того, що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фактичні результати проєкту будуть відрізнятися від очікуваних</w:t>
      </w:r>
    </w:p>
    <w:p w14:paraId="1E1AF170" w14:textId="77777777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Розподіл ризиків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Розподіл наслідків кожного ризику між сторонами договору ДПП/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концесійного договору або згода прийняти ризик за допомогою певного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механізму, який може включати поділ ризику між учасниками</w:t>
      </w:r>
    </w:p>
    <w:p w14:paraId="17E325D5" w14:textId="77777777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Середньозважена</w:t>
      </w:r>
      <w:r w:rsidR="00572A76" w:rsidRP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вартість капіталу</w:t>
      </w:r>
      <w:r w:rsidR="00572A76" w:rsidRP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(WACC)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WACC - це середньозважена вартість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всіх приватних фінансових ресурсів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проєкту. Це середньозважена вартість пайових ресурсів і вартості боргу</w:t>
      </w:r>
    </w:p>
    <w:p w14:paraId="1AB40F84" w14:textId="77777777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Система штрафних</w:t>
      </w:r>
      <w:r w:rsidR="00572A76" w:rsidRP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санкцій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Описана в договорі схема, яка визначає категорії порушень і розміри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штрафних санкцій</w:t>
      </w:r>
    </w:p>
    <w:p w14:paraId="001F75E6" w14:textId="77777777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Система моніторингу</w:t>
      </w:r>
      <w:r w:rsidR="00572A76" w:rsidRP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виконання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Система, яка зазвичай включає набір показників і процедур, узгоджених в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договорі за проєктом, в першу чергу з метою визначення того, чи надає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приватна сторона послуги за договором відповідно до специфікацій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встановлених відносно цих послуг</w:t>
      </w:r>
    </w:p>
    <w:p w14:paraId="5725B579" w14:textId="77777777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Систематичні</w:t>
      </w:r>
      <w:r w:rsidR="00572A76" w:rsidRP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порушення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Постійне недотримання приватним партнером положень договору ДПП/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концесійного договору. Систематичні порушення (як визначено в договорі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частині кількості порушень, накопичення штрафів або накопичення балів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виконання) можуть призвести до дострокового розірвання договору</w:t>
      </w:r>
    </w:p>
    <w:p w14:paraId="7399D58E" w14:textId="0171217D" w:rsidR="003147FC" w:rsidRPr="003147FC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Скринінг проєктів ДПП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прийнятності проєкту для його реалізації на умовах ДПП та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 здатності перейти до наступного етапу оцінки</w:t>
      </w:r>
    </w:p>
    <w:p w14:paraId="53554A33" w14:textId="68D5B4C3" w:rsidR="00572A76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Соціальна</w:t>
      </w:r>
      <w:r w:rsidR="00572A76" w:rsidRP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інфраструктура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Інфраструктура для розміщення служб, що надають соціальні послуги: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лікарні, школи і університети, в'язниці, житлові будинки, суди 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тощо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2F10BA3" w14:textId="77777777" w:rsidR="008A6601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Співфінансування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контексті ДПП співфінансування означає фінансування, що надходить від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державного сектору для фінансування частини капітальних видатків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3147F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Capex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Якщо фінансування означає державні фінанси в прямому сенсі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цього слова (фінансування, що забезпечується з бюджетних ресурсів, які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зазвичай розглядаються як «капітальні виплати» або «грантове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фінансування», а не фінансування, що надається державними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фінансовими відомствами, або державними банками), воно може</w:t>
      </w:r>
      <w:r w:rsidR="0057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називатися чистим співфінансуванням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Співвідношення ціни</w:t>
      </w:r>
      <w:r w:rsidR="00572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та якості (</w:t>
      </w:r>
      <w:proofErr w:type="spellStart"/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VfM</w:t>
      </w:r>
      <w:proofErr w:type="spellEnd"/>
      <w:r w:rsidRPr="00314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)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Взагалі, отримання або досягнення належного співвідношення ціни і якості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означає, що гроші були витрачені ефективно, тобто вартість отриманого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продукту або послуги дорівнює витраченій сумі або перевищує її. Рішення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витратити (або інвестувати в даному контексті) - це мудре рішення,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оскільки воно створює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чисту вартість для платника.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Концепція «Співвідношення ціни і якості» часто використовується в будь-якому інвестиційному рішенні, яке повинно бути прийнято Урядом, щоб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зрозуміти, що інвестиції створюють чисту вартість для суспільства (або для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платника податків), і підлягають перевірці методами визначення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рентабельності (особливо за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допомогою Аналізу витрат і вигід, 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CBA).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Однак в контексті ДПП «співвідношення ціни і якості» використовується в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більш конкретному сенсі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Переваги щодо витрат на закупівлю проєкту з використанням ДПП в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порівнянні з іншими варіантами закупівель. Зазвичай позначається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абревіатурою 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VfM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Позитивний результат 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VfM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очікуваний 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VfM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впровадження варіанту ДПП є результатом поєднання ефективності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приватного сектора і інновацій, перенесення ризиків, вартості всього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життєвого циклу і послуг, які надаються з використанням об'єкту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інфраструктури</w:t>
      </w:r>
    </w:p>
    <w:p w14:paraId="24B3F5E2" w14:textId="77777777" w:rsidR="008A6601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Спонсор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Приватна компанія або компанії, які беруть на себе провідну роль в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підготовці і подачі конкурсної пропозиції, зазвичай, протягом терміну дії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договору, до тих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пір, поки компанія не зможе вийти з нього шляхом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продажу своєї частки в статутному капіталі</w:t>
      </w:r>
    </w:p>
    <w:p w14:paraId="6FA29F6B" w14:textId="6A3F72EC" w:rsidR="003147FC" w:rsidRPr="003147FC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Ставка дисконтування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Ставка, яка використовується для розрахунку поточної вартості майбутніх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грошових потоків (або економічних грошових потоків в економічному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аналізі)</w:t>
      </w:r>
    </w:p>
    <w:p w14:paraId="62F49B7F" w14:textId="77777777" w:rsidR="008A6601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Структура договору</w:t>
      </w:r>
      <w:r w:rsidR="008A6601"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ДПП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Набір ключових комерційних умов договору ДПП - в основному тих, що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пов'язані з фінансовими умовами або «фінансовою структурою договору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ДПП» (яким чином буде здійснюватися оплата на користь приватного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партнера), а також з умовами розподілу ризиків або «структурою ризику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договором ДПП» (яким чином ризики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розподіляються між сторонами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договору)</w:t>
      </w:r>
    </w:p>
    <w:p w14:paraId="2E55CF08" w14:textId="77777777" w:rsidR="008A6601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Структура проєкту</w:t>
      </w:r>
      <w:r w:rsidR="008A6601"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ДПП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Структура проєкту ДПП відноситься до архітектури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договірних відносин і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грошових потоків, які управляють розвитком і життєвим циклом проєкту.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Вона включає в себе структуру договорів ДПП і структуру приватних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договорів (також відому як структура наступних договорів), яка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передбачає документування і розподіл відповідальності, зобов'язань,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ризиків та винагороди, властивих договорам ДПП. </w:t>
      </w:r>
      <w:r w:rsidRPr="008A66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«Структурування</w:t>
      </w:r>
      <w:r w:rsidR="008A6601" w:rsidRPr="008A66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 xml:space="preserve"> </w:t>
      </w:r>
      <w:r w:rsidRPr="008A66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проєкту ДПП»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це термін, який використовується для процесу розробки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структури договору ДПП і структури конкурсного процесу</w:t>
      </w:r>
    </w:p>
    <w:p w14:paraId="4A3AFB51" w14:textId="77777777" w:rsidR="008A6601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Структурування</w:t>
      </w:r>
      <w:r w:rsidR="008A6601"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ризиків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оптимального розподілу ризиків в рамках договору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ДПП/концесійного договору для того, щоб вирішити, які ризики в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кінцевому підсумку будуть передані приватному партнеру/концесіонеру і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якій мірі, а також які ризики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залишаться, або будуть розділені з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державним партнером/концесієдавцем і в якій мірі</w:t>
      </w:r>
    </w:p>
    <w:p w14:paraId="72DAA4C5" w14:textId="77777777" w:rsidR="008A6601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Сторонні доходи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Здатність проєктної компанії отримувати інші доходи, ніж доходи від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користувачів або державних органів.</w:t>
      </w:r>
    </w:p>
    <w:p w14:paraId="2AF8F0C7" w14:textId="77777777" w:rsidR="008A6601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Субсидоване</w:t>
      </w:r>
      <w:r w:rsidR="008A6601"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фінансування (VGF)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Схема, за якою проєктам з низькою фінансовою життєздатністю надаються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гранти (або інша фінансова підтримка з боку Уряду) в розмірі до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обумовленого відсотка від вартості проєкту, що робить їх фінансово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життєздатними в якості проєктів ДПП. Учасник конкурсу, який подає заявку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участь в проєкті з найменшою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фінансовою підтримкою з боку Уряду,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зазвичай отримує цей проєкт</w:t>
      </w:r>
    </w:p>
    <w:p w14:paraId="7B9FC858" w14:textId="77777777" w:rsidR="008A6601" w:rsidRDefault="003147FC" w:rsidP="003147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6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Субординований борг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Борг, який за договором, або за правовою структурою є </w:t>
      </w:r>
      <w:r w:rsidR="008A6601"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субординований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відношенню до іншого (старшого) боргу, що дозволяє цим (старшим)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кредиторам мати пріоритет в доступі до сум, що час від часу виплачуються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позичальником кредиторам, а також до активів або доходів позичальника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випадок дефолту (невиконання зобов'язань). Цей пріоритет може бути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обов'язковим для арбітражного керуючого або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адміністраторів</w:t>
      </w:r>
      <w:r w:rsidR="008A6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позичальника</w:t>
      </w:r>
    </w:p>
    <w:p w14:paraId="109BA81D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Суспільно значущі</w:t>
      </w:r>
      <w:r w:rsidR="008A6601"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послуги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Послуги, спрямовані на забезпечення суспільних інтересів та потреб, що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надаються необмеженому колу користувачів (споживачів) та/або надання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яких має забезпечуватися органами державної влади, органами місцевого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самоврядування або державними, комунальними підприємствами,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установами, організаціями, господарськими товариствами, 50 і більше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відсотків акцій (часток) яких належать державі, територіальній громаді чи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Автономній Республіці Крим</w:t>
      </w:r>
    </w:p>
    <w:p w14:paraId="6DB65488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Схема проєкту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проєкту на базовому рівні з технічної точки зору</w:t>
      </w:r>
    </w:p>
    <w:p w14:paraId="178EFF21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Технічні вимоги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Технічні деталі проєкту, які дозволяють точно визначити моделі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інфраструктури та характеристики послуг, що будуть надаватися, та які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стосуються того, як саме буде забезпечуватись виконання проєкту і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послуг. Чітко визначені технічні вимоги є необхідними для оцінки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розподілу витрат в рамках аналізу комерційної доцільності проєкту</w:t>
      </w:r>
    </w:p>
    <w:p w14:paraId="3E7A7D00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Термін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Термін дії договору ДПП/концесійного договору або період до дати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остаточного погашення боргу</w:t>
      </w:r>
    </w:p>
    <w:p w14:paraId="7291C1B4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Типові договори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Типові договори представляють точне формулювання певних положень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договорів, або їхніх положень, які державні органи зобов'язані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використовувати (або, принаймні, зобов'язані документувати та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обґрунтовувати відхилення від них)</w:t>
      </w:r>
    </w:p>
    <w:p w14:paraId="7364BC7A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Умовні зобов'язання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Зобов'язання, викликані певною, але невизначеною майбутньою подією</w:t>
      </w:r>
    </w:p>
    <w:p w14:paraId="7983F621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Укладення договору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Підписання договору.</w:t>
      </w:r>
    </w:p>
    <w:p w14:paraId="79E46A06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Управління</w:t>
      </w:r>
      <w:r w:rsidR="00BD6BD0"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договорами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 управління та адміністрування договорів ДПП/концесійних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договорів з моменту підписання до закінчення терміну їх дії</w:t>
      </w:r>
    </w:p>
    <w:p w14:paraId="49650E93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Упередження</w:t>
      </w:r>
      <w:r w:rsidR="00BD6BD0"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оптимізму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Упередження, яке змушує людину думати, що ризик настання негативної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події в її випадку є меншим в порівнянні з іншими. Наприклад, у Уряду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може бути оптимізм щодо прогнозів про рівень користування певною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інфраструктурою, але в майбутньому, цей попит може бути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малоймовірним</w:t>
      </w:r>
    </w:p>
    <w:p w14:paraId="6FA1744B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Уряд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Відноситься до всіх рівнів уряду і його відповідних галузевих відомств та /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або міністерств</w:t>
      </w:r>
    </w:p>
    <w:p w14:paraId="75C00918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Утримання із платежів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Утримання із платежів за проєктом ДПП, в якому фінансування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здійснюється державою. Це також називається «коригуванням платежів»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або «скороченням платежів». Це безпосередній шлях до фінансових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санкцій за недостатню ефективність реалізації проєкту ДПП, в якому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фінансування здійснюється державою</w:t>
      </w:r>
    </w:p>
    <w:p w14:paraId="638A194E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Учасник конкурсу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широкому розумінні – це компанія, або група компаній, наприклад,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консорціум, яка за результатами процедури попереднього відбору</w:t>
      </w:r>
      <w:r w:rsidR="00BD6BD0"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прекваліфікації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допущена до участі в конкурсі. Учасником конкурсного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процесу може бути одна юридична особа або консорціум сторін, кожна з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яких відповідає за певну складову, таку як будівництво інфраструктури,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постачання обладнання або ведення господарської діяльності.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Строго кажучи, учасником конкурсного процесу є компанія або компанії,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які зобов'язуються сформувати 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проєктну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компанію або приватного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партнера (також відомого як SPV); інші члени консорціуму, що беруть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участь в конкурсі, потенційно можуть виступати в якості «призначених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підрядників»</w:t>
      </w:r>
    </w:p>
    <w:p w14:paraId="53B73B88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Фінансове закриття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Момент, станом на який вся проєктна документація - підписана, всі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попередні умови, виконання яких є необхідним для фінансування проєкту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виконані, і фінансування проєкту стає можливим</w:t>
      </w:r>
    </w:p>
    <w:p w14:paraId="17B335E2" w14:textId="77777777" w:rsidR="00BD6BD0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Фінансова модель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Комп'ютерний файл з електронною таблицею, який включає в себе всі дані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інвестиції, доходи, витрати і податки на період дії договору, а також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кілька аналітичних параметрів і дані про відносну інфляцію. Інструмент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також враховує вільний грошовий потік як проєктної компанії, так і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прямого інвестора</w:t>
      </w:r>
    </w:p>
    <w:p w14:paraId="7CC4F76C" w14:textId="77777777" w:rsidR="00E6331A" w:rsidRDefault="003147FC" w:rsidP="00BD6BD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Фінансова структура (з</w:t>
      </w:r>
      <w:r w:rsidR="00BD6BD0"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BD6B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точки зору держави)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Керівництва з питань сертифікації проєктів ДПП18, термі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«фінансова структура» (з точки зору держави) відноситься до визначення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механізму компенсацій, які повинні бути надані приватному партнеру за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договором, та їх умов (строк виплати, терміни, індексація і можливі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корегування / відрахування), включаючи гранти (для співфінансування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капітальних витрат (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Capex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платежі за послуги, субсидії, право на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отримання платежів від користувачів і будь-яку потенційну участь держави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забезпеченні фінансування (гарантії та інші заходи щодо підвищення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кредитної якості, капітальні або боргові внески)).</w:t>
      </w:r>
      <w:r w:rsidR="00BD6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Фінансова структура може також розглядатися як результат графіку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державних платежів з точки зору чистої поточної вартості (NPV) і річних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державних витрат, або як графік платежів, які повинні бути отримані від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приватного партнера (в проєктах, що перевищують вимоги доцільності)</w:t>
      </w:r>
    </w:p>
    <w:p w14:paraId="594A281F" w14:textId="77777777" w:rsidR="00E6331A" w:rsidRDefault="003147FC" w:rsidP="00E6331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Фінансування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Джерело коштів, необхідних початково для покриття витрат на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будівництво інфраструктури. Фінансування зазвичай надходить від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держави за рахунок профіциту або державних позик (традиційні закупівлі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 рамках інфраструктурних проєктів), або від приватного сектора, який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залучає фінансування за рахунок позикових коштів і статутного капіталу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(ДПП)</w:t>
      </w:r>
    </w:p>
    <w:p w14:paraId="48325B3F" w14:textId="77777777" w:rsidR="00E6331A" w:rsidRDefault="003147FC" w:rsidP="00E6331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Фіскальний ризик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Ризик того, що фінансовий результат для уряду (тобто фінансове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становище уряду) буде відрізнятися від очікуваного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Фондування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Джерело коштів,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необхідних для виконання платіжних зобов'язань. В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контексті ДПП це відноситься до джерела грошових коштів в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довгостроковій перспективі для оплати приватному партнеру інвестицій у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ДПП, а також витрати на експлуатацію та обслуговування проєкту.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Фондування</w:t>
      </w:r>
      <w:proofErr w:type="spellEnd"/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зазвичай надходить за рахунок податків (в проєктах ДПП, що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реалізують за державного фінансування) або за рахунок зборів з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користувачів (в проєктах ДПП, що реалізують за рахунок платежів з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користувачів – концесійні проєкти)</w:t>
      </w:r>
    </w:p>
    <w:p w14:paraId="2301B91B" w14:textId="77777777" w:rsidR="00E6331A" w:rsidRDefault="003147FC" w:rsidP="00E6331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Форс мажор </w:t>
      </w:r>
      <w:r w:rsid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Зовнішні непередбачувані події, які не залежать від будь-якої зі сторін, які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тлумачаться або визначаються законом, політикою або договором. Точний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масштаб охоплення цього терміну залежить від юрисдикції, але зазвичай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він включає «обставини непереборної сили» (стихійні лиха). Термін також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часто включає певні антропогенні події, такі як війни і терористичні акти</w:t>
      </w:r>
    </w:p>
    <w:p w14:paraId="494EDC17" w14:textId="77777777" w:rsidR="00E6331A" w:rsidRDefault="003147FC" w:rsidP="00E6331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Функціональний</w:t>
      </w:r>
      <w:r w:rsidR="00E6331A" w:rsidRP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проєкт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Проєкт, підготовлений для позначення функціональних вимог проєкту, а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для надання фактичних вхідних даних і робочих специфікацій</w:t>
      </w:r>
    </w:p>
    <w:p w14:paraId="1A2B37B8" w14:textId="77777777" w:rsidR="00E6331A" w:rsidRDefault="003147FC" w:rsidP="00E6331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Чиста поточна вартість</w:t>
      </w:r>
      <w:r w:rsidR="00E6331A" w:rsidRP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(NPV)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Дисконтована вартість надходження грошових коштів в результаті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інвестицій (або економічні надходження в економічному аналізі) за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вирахуванням дисконтованої вартості відтоку грошових коштів (або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економічних витрат в економічному аналізі). Для того, щоб інвестиція була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досить прибутковою, її чиста поточна вартість повинна бути більше нуля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379F13B" w14:textId="159A4098" w:rsidR="0045335C" w:rsidRPr="003147FC" w:rsidRDefault="003147FC" w:rsidP="00E6331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Штрафні санкції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Платежі, які буде здійснювати приватний партнер/концесіонер, в разі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порушення договору ДПП/концесійного договору. Вони також можуть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називатися прямими або явними штрафними санкціями, для того, щоб їх</w:t>
      </w:r>
      <w:r w:rsidR="00E633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4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відрізняти від утримань із платежів</w:t>
      </w:r>
    </w:p>
    <w:sectPr w:rsidR="0045335C" w:rsidRPr="003147FC" w:rsidSect="003238DC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2CEB4" w14:textId="77777777" w:rsidR="00452EB6" w:rsidRDefault="00452EB6" w:rsidP="003C2A0C">
      <w:pPr>
        <w:spacing w:after="0" w:line="240" w:lineRule="auto"/>
      </w:pPr>
      <w:r>
        <w:separator/>
      </w:r>
    </w:p>
  </w:endnote>
  <w:endnote w:type="continuationSeparator" w:id="0">
    <w:p w14:paraId="0A0BF421" w14:textId="77777777" w:rsidR="00452EB6" w:rsidRDefault="00452EB6" w:rsidP="003C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4620380"/>
      <w:docPartObj>
        <w:docPartGallery w:val="Page Numbers (Bottom of Page)"/>
        <w:docPartUnique/>
      </w:docPartObj>
    </w:sdtPr>
    <w:sdtContent>
      <w:p w14:paraId="41A05820" w14:textId="77777777" w:rsidR="00572A76" w:rsidRDefault="00572A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619CCA" w14:textId="77777777" w:rsidR="00572A76" w:rsidRDefault="00572A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29C68" w14:textId="77777777" w:rsidR="00452EB6" w:rsidRDefault="00452EB6" w:rsidP="003C2A0C">
      <w:pPr>
        <w:spacing w:after="0" w:line="240" w:lineRule="auto"/>
      </w:pPr>
      <w:r>
        <w:separator/>
      </w:r>
    </w:p>
  </w:footnote>
  <w:footnote w:type="continuationSeparator" w:id="0">
    <w:p w14:paraId="6036BE01" w14:textId="77777777" w:rsidR="00452EB6" w:rsidRDefault="00452EB6" w:rsidP="003C2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89A"/>
    <w:rsid w:val="0000760C"/>
    <w:rsid w:val="000C1964"/>
    <w:rsid w:val="001974C4"/>
    <w:rsid w:val="00255B28"/>
    <w:rsid w:val="003147FC"/>
    <w:rsid w:val="003238DC"/>
    <w:rsid w:val="003C2A0C"/>
    <w:rsid w:val="00446B0C"/>
    <w:rsid w:val="00452EB6"/>
    <w:rsid w:val="0045335C"/>
    <w:rsid w:val="00543C16"/>
    <w:rsid w:val="00546BB6"/>
    <w:rsid w:val="00572A76"/>
    <w:rsid w:val="005C2E30"/>
    <w:rsid w:val="005E7FD5"/>
    <w:rsid w:val="006164C5"/>
    <w:rsid w:val="00641582"/>
    <w:rsid w:val="00657012"/>
    <w:rsid w:val="006735FB"/>
    <w:rsid w:val="006915E5"/>
    <w:rsid w:val="006A6A23"/>
    <w:rsid w:val="007434F7"/>
    <w:rsid w:val="00841E4E"/>
    <w:rsid w:val="008A6601"/>
    <w:rsid w:val="009527DA"/>
    <w:rsid w:val="00986D51"/>
    <w:rsid w:val="009D689A"/>
    <w:rsid w:val="009F3751"/>
    <w:rsid w:val="00AB1F72"/>
    <w:rsid w:val="00BD6BD0"/>
    <w:rsid w:val="00C10CCC"/>
    <w:rsid w:val="00D454B9"/>
    <w:rsid w:val="00D84F06"/>
    <w:rsid w:val="00E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2B87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A0C"/>
  </w:style>
  <w:style w:type="paragraph" w:styleId="1">
    <w:name w:val="heading 1"/>
    <w:basedOn w:val="a"/>
    <w:next w:val="a"/>
    <w:link w:val="10"/>
    <w:uiPriority w:val="9"/>
    <w:qFormat/>
    <w:rsid w:val="003C2A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C2A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C2A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3C2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A0C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A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2A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C2A0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2A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C2A0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C2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A0C"/>
  </w:style>
  <w:style w:type="paragraph" w:styleId="a5">
    <w:name w:val="footer"/>
    <w:basedOn w:val="a"/>
    <w:link w:val="a6"/>
    <w:uiPriority w:val="99"/>
    <w:unhideWhenUsed/>
    <w:rsid w:val="003C2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A0C"/>
  </w:style>
  <w:style w:type="character" w:styleId="a7">
    <w:name w:val="page number"/>
    <w:basedOn w:val="a0"/>
    <w:rsid w:val="003C2A0C"/>
  </w:style>
  <w:style w:type="paragraph" w:styleId="a8">
    <w:name w:val="Body Text Indent"/>
    <w:basedOn w:val="a"/>
    <w:link w:val="a9"/>
    <w:uiPriority w:val="99"/>
    <w:rsid w:val="003C2A0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3C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3C2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A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C2A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Normal (Web)"/>
    <w:basedOn w:val="a"/>
    <w:uiPriority w:val="99"/>
    <w:rsid w:val="003C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C2A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3C2A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uiPriority w:val="99"/>
    <w:rsid w:val="003C2A0C"/>
    <w:rPr>
      <w:color w:val="0000FF"/>
      <w:u w:val="single"/>
    </w:rPr>
  </w:style>
  <w:style w:type="character" w:styleId="ae">
    <w:name w:val="Strong"/>
    <w:uiPriority w:val="22"/>
    <w:qFormat/>
    <w:rsid w:val="003C2A0C"/>
    <w:rPr>
      <w:b/>
      <w:bCs/>
    </w:rPr>
  </w:style>
  <w:style w:type="paragraph" w:styleId="af">
    <w:name w:val="List Paragraph"/>
    <w:basedOn w:val="a"/>
    <w:uiPriority w:val="34"/>
    <w:qFormat/>
    <w:rsid w:val="003C2A0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3C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3C2A0C"/>
    <w:rPr>
      <w:i/>
      <w:iCs/>
    </w:rPr>
  </w:style>
  <w:style w:type="character" w:customStyle="1" w:styleId="32">
    <w:name w:val="Заголовок №3 (2)_"/>
    <w:link w:val="320"/>
    <w:rsid w:val="003C2A0C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3C2A0C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character" w:customStyle="1" w:styleId="af1">
    <w:name w:val="Основной текст Знак"/>
    <w:basedOn w:val="a0"/>
    <w:link w:val="af2"/>
    <w:rsid w:val="003C2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1"/>
    <w:rsid w:val="003C2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3C2A0C"/>
  </w:style>
  <w:style w:type="character" w:customStyle="1" w:styleId="af3">
    <w:name w:val="Текст выноски Знак"/>
    <w:basedOn w:val="a0"/>
    <w:link w:val="af4"/>
    <w:uiPriority w:val="99"/>
    <w:rsid w:val="003C2A0C"/>
    <w:rPr>
      <w:rFonts w:ascii="Tahoma" w:eastAsia="Calibri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unhideWhenUsed/>
    <w:rsid w:val="003C2A0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C2A0C"/>
    <w:rPr>
      <w:rFonts w:ascii="Tahoma" w:hAnsi="Tahoma" w:cs="Tahoma"/>
      <w:sz w:val="16"/>
      <w:szCs w:val="16"/>
    </w:rPr>
  </w:style>
  <w:style w:type="paragraph" w:customStyle="1" w:styleId="imagename">
    <w:name w:val="imagename"/>
    <w:basedOn w:val="a"/>
    <w:rsid w:val="003C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ndart1">
    <w:name w:val="standart1"/>
    <w:rsid w:val="003C2A0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andart">
    <w:name w:val="standart"/>
    <w:basedOn w:val="a"/>
    <w:rsid w:val="003C2A0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w-headline">
    <w:name w:val="mw-headline"/>
    <w:rsid w:val="003C2A0C"/>
  </w:style>
  <w:style w:type="character" w:customStyle="1" w:styleId="z-">
    <w:name w:val="z-Начало формы Знак"/>
    <w:basedOn w:val="a0"/>
    <w:link w:val="z-0"/>
    <w:uiPriority w:val="99"/>
    <w:rsid w:val="003C2A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3C2A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3C2A0C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rsid w:val="003C2A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unhideWhenUsed/>
    <w:rsid w:val="003C2A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3C2A0C"/>
    <w:rPr>
      <w:rFonts w:ascii="Arial" w:hAnsi="Arial" w:cs="Arial"/>
      <w:vanish/>
      <w:sz w:val="16"/>
      <w:szCs w:val="16"/>
    </w:rPr>
  </w:style>
  <w:style w:type="character" w:customStyle="1" w:styleId="af5">
    <w:name w:val="Основной текст_"/>
    <w:link w:val="21"/>
    <w:uiPriority w:val="99"/>
    <w:locked/>
    <w:rsid w:val="003C2A0C"/>
    <w:rPr>
      <w:rFonts w:ascii="Franklin Gothic Book" w:hAnsi="Franklin Gothic Book" w:cs="Franklin Gothic Book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f5"/>
    <w:uiPriority w:val="99"/>
    <w:rsid w:val="003C2A0C"/>
    <w:pPr>
      <w:widowControl w:val="0"/>
      <w:shd w:val="clear" w:color="auto" w:fill="FFFFFF"/>
      <w:spacing w:after="0" w:line="197" w:lineRule="exact"/>
      <w:ind w:hanging="140"/>
      <w:jc w:val="both"/>
    </w:pPr>
    <w:rPr>
      <w:rFonts w:ascii="Franklin Gothic Book" w:hAnsi="Franklin Gothic Book" w:cs="Franklin Gothic Book"/>
      <w:sz w:val="17"/>
      <w:szCs w:val="17"/>
    </w:rPr>
  </w:style>
  <w:style w:type="character" w:customStyle="1" w:styleId="af6">
    <w:name w:val="Текст концевой сноски Знак"/>
    <w:basedOn w:val="a0"/>
    <w:link w:val="af7"/>
    <w:uiPriority w:val="99"/>
    <w:rsid w:val="003C2A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6"/>
    <w:uiPriority w:val="99"/>
    <w:rsid w:val="003C2A0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3C2A0C"/>
    <w:rPr>
      <w:sz w:val="20"/>
      <w:szCs w:val="20"/>
    </w:rPr>
  </w:style>
  <w:style w:type="character" w:customStyle="1" w:styleId="hps">
    <w:name w:val="hps"/>
    <w:basedOn w:val="a0"/>
    <w:rsid w:val="003C2A0C"/>
  </w:style>
  <w:style w:type="character" w:customStyle="1" w:styleId="shorttext">
    <w:name w:val="short_text"/>
    <w:basedOn w:val="a0"/>
    <w:rsid w:val="003C2A0C"/>
  </w:style>
  <w:style w:type="character" w:customStyle="1" w:styleId="rynqvb">
    <w:name w:val="rynqvb"/>
    <w:basedOn w:val="a0"/>
    <w:rsid w:val="00572A76"/>
  </w:style>
  <w:style w:type="paragraph" w:customStyle="1" w:styleId="Default">
    <w:name w:val="Default"/>
    <w:rsid w:val="00E63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13</cp:revision>
  <dcterms:created xsi:type="dcterms:W3CDTF">2013-04-04T08:34:00Z</dcterms:created>
  <dcterms:modified xsi:type="dcterms:W3CDTF">2024-08-29T13:37:00Z</dcterms:modified>
</cp:coreProperties>
</file>