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92" w:rsidRPr="003C4179" w:rsidRDefault="00EE1D92" w:rsidP="00EE1D92">
      <w:pPr>
        <w:tabs>
          <w:tab w:val="left" w:pos="1080"/>
        </w:tabs>
        <w:autoSpaceDE w:val="0"/>
        <w:spacing w:line="360" w:lineRule="auto"/>
        <w:ind w:left="357"/>
        <w:jc w:val="center"/>
        <w:rPr>
          <w:b/>
          <w:i/>
          <w:sz w:val="22"/>
          <w:szCs w:val="22"/>
        </w:rPr>
      </w:pPr>
      <w:r w:rsidRPr="003C4179">
        <w:rPr>
          <w:b/>
          <w:i/>
          <w:sz w:val="22"/>
          <w:szCs w:val="22"/>
        </w:rPr>
        <w:t>Питання для другого модульного контролю</w:t>
      </w:r>
    </w:p>
    <w:p w:rsidR="00EE1D92" w:rsidRPr="003C4179" w:rsidRDefault="00EE1D92" w:rsidP="00EE1D92">
      <w:pPr>
        <w:tabs>
          <w:tab w:val="left" w:pos="1080"/>
        </w:tabs>
        <w:autoSpaceDE w:val="0"/>
        <w:spacing w:line="360" w:lineRule="auto"/>
        <w:ind w:left="360"/>
        <w:jc w:val="center"/>
        <w:rPr>
          <w:b/>
          <w:i/>
          <w:sz w:val="16"/>
          <w:szCs w:val="16"/>
        </w:rPr>
      </w:pP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Визначення межі використання психологічних знань при проведенні експериментально-психологічного дослідження.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Наслідки експериментально-психологічного дослідження.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Судово-психологічна експертиза емоційних станів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Юридичне значення експертизи емоційних станів.  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Поняття афективного стану. 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Види афектів.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СПЕ неповнолітніх. 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Психологічні особливості неповнолітніх. 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Загальні принципи та критерії виконання експертизи у справах неповнолітніх.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Характеристика трудової експертизи. 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Завдання психологічно-трудової експертизи. 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Методи психологічно-трудової експертизи. 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Види психологічно-трудової експертизи.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Основні характеристики психолого-педагогічної експертизи.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Критерії психолого-педагогічної експертизи.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Методи та засоби психолого-педагогічної експертизи.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Особливості роботи карного спеціаліста та експерта.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proofErr w:type="spellStart"/>
      <w:r w:rsidRPr="003C4179">
        <w:rPr>
          <w:sz w:val="22"/>
          <w:szCs w:val="22"/>
        </w:rPr>
        <w:t>Психолог-неексперт</w:t>
      </w:r>
      <w:proofErr w:type="spellEnd"/>
      <w:r w:rsidRPr="003C4179">
        <w:rPr>
          <w:sz w:val="22"/>
          <w:szCs w:val="22"/>
        </w:rPr>
        <w:t xml:space="preserve"> у карному судочинстві.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Типи та характеристика експертних моделей.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Загальні риси СПЕ.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Основні форми роботи психолога у процесі слідства.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Етапи роботи психолога при проведенні СПЕ.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68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Нормативні акти, що регулюють діяльність психолога-експерта.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68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СПЕ індивідуально-психологічних особливостей.</w:t>
      </w:r>
    </w:p>
    <w:p w:rsidR="00EE1D92" w:rsidRPr="003C4179" w:rsidRDefault="00EE1D92" w:rsidP="00EE1D92">
      <w:pPr>
        <w:numPr>
          <w:ilvl w:val="0"/>
          <w:numId w:val="1"/>
        </w:numPr>
        <w:tabs>
          <w:tab w:val="left" w:pos="720"/>
          <w:tab w:val="left" w:pos="1068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Психолінгвістична експертиза.</w:t>
      </w:r>
    </w:p>
    <w:p w:rsidR="009E20F7" w:rsidRDefault="009E20F7"/>
    <w:sectPr w:rsidR="009E20F7" w:rsidSect="009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2CDF"/>
    <w:multiLevelType w:val="hybridMultilevel"/>
    <w:tmpl w:val="686096C0"/>
    <w:name w:val="WW8Num4022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92"/>
    <w:rsid w:val="009E1270"/>
    <w:rsid w:val="009E20F7"/>
    <w:rsid w:val="00D7747B"/>
    <w:rsid w:val="00EE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2014-07-20T14:25:00Z</dcterms:created>
  <dcterms:modified xsi:type="dcterms:W3CDTF">2014-07-20T14:25:00Z</dcterms:modified>
</cp:coreProperties>
</file>